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513838" w14:textId="77777777" w:rsidR="003F2D65" w:rsidRPr="00695235" w:rsidRDefault="003F2D65" w:rsidP="00A212A3">
      <w:pPr>
        <w:ind w:right="-24" w:firstLine="5103"/>
        <w:contextualSpacing/>
        <w:jc w:val="both"/>
        <w:rPr>
          <w:rFonts w:ascii="Titillium" w:hAnsi="Titillium" w:cs="Times New Roman"/>
          <w:sz w:val="22"/>
        </w:rPr>
      </w:pPr>
    </w:p>
    <w:p w14:paraId="30298C28" w14:textId="565F4E71" w:rsidR="00864D39" w:rsidRPr="00695235" w:rsidRDefault="00864D39" w:rsidP="00A212A3">
      <w:pPr>
        <w:ind w:left="1416" w:right="-24" w:firstLine="5103"/>
        <w:contextualSpacing/>
        <w:jc w:val="both"/>
        <w:rPr>
          <w:rFonts w:ascii="Titillium" w:hAnsi="Titillium" w:cs="Times New Roman"/>
          <w:sz w:val="22"/>
        </w:rPr>
      </w:pPr>
      <w:r w:rsidRPr="00695235">
        <w:rPr>
          <w:rFonts w:ascii="Titillium" w:hAnsi="Titillium" w:cs="Times New Roman"/>
          <w:sz w:val="22"/>
        </w:rPr>
        <w:t>Spett.le</w:t>
      </w:r>
    </w:p>
    <w:p w14:paraId="44F2AF81" w14:textId="77777777" w:rsidR="00864D39" w:rsidRPr="00695235" w:rsidRDefault="00864D39" w:rsidP="00A212A3">
      <w:pPr>
        <w:ind w:left="1416" w:right="-24" w:firstLine="5103"/>
        <w:contextualSpacing/>
        <w:jc w:val="both"/>
        <w:rPr>
          <w:rFonts w:ascii="Titillium" w:hAnsi="Titillium" w:cs="Times New Roman"/>
          <w:sz w:val="22"/>
        </w:rPr>
      </w:pPr>
      <w:r w:rsidRPr="00695235">
        <w:rPr>
          <w:rFonts w:ascii="Titillium" w:hAnsi="Titillium" w:cs="Times New Roman"/>
          <w:sz w:val="22"/>
        </w:rPr>
        <w:t>Gestore dei Servizi Energetici – GSE S.p.A.</w:t>
      </w:r>
    </w:p>
    <w:p w14:paraId="1900E3DF" w14:textId="30666847" w:rsidR="00D1577F" w:rsidRPr="00695235" w:rsidRDefault="004D4D76" w:rsidP="00A212A3">
      <w:pPr>
        <w:ind w:left="1416" w:right="-24" w:firstLine="5103"/>
        <w:contextualSpacing/>
        <w:jc w:val="both"/>
        <w:rPr>
          <w:rFonts w:ascii="Titillium" w:hAnsi="Titillium" w:cs="Times New Roman"/>
          <w:sz w:val="22"/>
        </w:rPr>
      </w:pPr>
      <w:r w:rsidRPr="00695235">
        <w:rPr>
          <w:rFonts w:ascii="Titillium" w:hAnsi="Titillium" w:cs="Times New Roman"/>
          <w:sz w:val="22"/>
        </w:rPr>
        <w:t>Direzione Riconoscimento Incentivi e Titoli</w:t>
      </w:r>
      <w:r w:rsidR="00D1577F" w:rsidRPr="00695235">
        <w:rPr>
          <w:rFonts w:ascii="Titillium" w:hAnsi="Titillium" w:cs="Times New Roman"/>
          <w:sz w:val="22"/>
        </w:rPr>
        <w:t xml:space="preserve"> </w:t>
      </w:r>
    </w:p>
    <w:p w14:paraId="523298B5" w14:textId="77777777" w:rsidR="00864D39" w:rsidRPr="00695235" w:rsidRDefault="00864D39" w:rsidP="00A212A3">
      <w:pPr>
        <w:ind w:left="1416" w:right="-24" w:firstLine="5103"/>
        <w:contextualSpacing/>
        <w:jc w:val="both"/>
        <w:rPr>
          <w:rFonts w:ascii="Titillium" w:hAnsi="Titillium" w:cs="Times New Roman"/>
          <w:sz w:val="22"/>
        </w:rPr>
      </w:pPr>
      <w:r w:rsidRPr="00695235">
        <w:rPr>
          <w:rFonts w:ascii="Titillium" w:hAnsi="Titillium" w:cs="Times New Roman"/>
          <w:sz w:val="22"/>
        </w:rPr>
        <w:t>Viale M. Pilsudski, 92</w:t>
      </w:r>
    </w:p>
    <w:p w14:paraId="7A194885" w14:textId="77777777" w:rsidR="00864D39" w:rsidRPr="00695235" w:rsidRDefault="00864D39" w:rsidP="00A212A3">
      <w:pPr>
        <w:spacing w:after="480"/>
        <w:ind w:left="1416" w:right="-24" w:firstLine="5103"/>
        <w:jc w:val="both"/>
        <w:rPr>
          <w:rFonts w:ascii="Titillium" w:hAnsi="Titillium" w:cs="Times New Roman"/>
          <w:sz w:val="22"/>
        </w:rPr>
      </w:pPr>
      <w:r w:rsidRPr="00695235">
        <w:rPr>
          <w:rFonts w:ascii="Titillium" w:hAnsi="Titillium" w:cs="Times New Roman"/>
          <w:sz w:val="22"/>
        </w:rPr>
        <w:t>00197 – Roma</w:t>
      </w:r>
    </w:p>
    <w:p w14:paraId="36FFFE51" w14:textId="499DA841" w:rsidR="00450553" w:rsidRPr="00695235" w:rsidRDefault="00450553" w:rsidP="00A212A3">
      <w:pPr>
        <w:spacing w:after="360" w:line="240" w:lineRule="auto"/>
        <w:ind w:left="851" w:right="-24" w:hanging="851"/>
        <w:jc w:val="both"/>
        <w:rPr>
          <w:rFonts w:ascii="Titillium" w:hAnsi="Titillium" w:cs="Times New Roman"/>
          <w:b/>
          <w:bCs/>
          <w:sz w:val="22"/>
        </w:rPr>
      </w:pPr>
      <w:r w:rsidRPr="61DE34E3">
        <w:rPr>
          <w:rFonts w:ascii="Titillium" w:hAnsi="Titillium" w:cs="Times New Roman"/>
          <w:b/>
          <w:bCs/>
          <w:sz w:val="22"/>
        </w:rPr>
        <w:t xml:space="preserve">Oggetto: </w:t>
      </w:r>
      <w:r w:rsidR="00565826" w:rsidRPr="00EF191E">
        <w:rPr>
          <w:rFonts w:ascii="Titillium" w:hAnsi="Titillium" w:cs="Times New Roman"/>
          <w:b/>
          <w:bCs/>
          <w:sz w:val="22"/>
        </w:rPr>
        <w:t>Istanza preliminare</w:t>
      </w:r>
      <w:r w:rsidR="004D4D76" w:rsidRPr="61DE34E3">
        <w:rPr>
          <w:rFonts w:ascii="Titillium" w:hAnsi="Titillium" w:cs="Times New Roman"/>
          <w:b/>
          <w:bCs/>
          <w:sz w:val="22"/>
        </w:rPr>
        <w:t xml:space="preserve"> per l’accesso alla remunerazione a prezzi minimi garantiti ai sensi dell’art. 3-ter, comma 1, del </w:t>
      </w:r>
      <w:r w:rsidR="00E5112E" w:rsidRPr="00A212A3">
        <w:rPr>
          <w:rFonts w:ascii="Titillium" w:hAnsi="Titillium" w:cs="Times New Roman"/>
          <w:b/>
          <w:bCs/>
        </w:rPr>
        <w:t>decreto-legge 57/23</w:t>
      </w:r>
      <w:r w:rsidR="794FCBDB" w:rsidRPr="61DE34E3">
        <w:rPr>
          <w:rFonts w:ascii="Titillium" w:hAnsi="Titillium" w:cs="Times New Roman"/>
          <w:b/>
          <w:bCs/>
        </w:rPr>
        <w:t xml:space="preserve"> </w:t>
      </w:r>
      <w:r w:rsidR="004D4D76" w:rsidRPr="61DE34E3">
        <w:rPr>
          <w:rFonts w:ascii="Titillium" w:hAnsi="Titillium" w:cs="Times New Roman"/>
          <w:b/>
          <w:bCs/>
          <w:sz w:val="22"/>
        </w:rPr>
        <w:t>per gli impianti di produzione di energia elettrica alimentati da biogas e da biomasse solide – BIO</w:t>
      </w:r>
      <w:r w:rsidR="75319848" w:rsidRPr="61DE34E3">
        <w:rPr>
          <w:rFonts w:ascii="Titillium" w:hAnsi="Titillium" w:cs="Times New Roman"/>
          <w:b/>
          <w:bCs/>
          <w:sz w:val="22"/>
        </w:rPr>
        <w:t>-</w:t>
      </w:r>
      <w:r w:rsidR="004D4D76" w:rsidRPr="61DE34E3">
        <w:rPr>
          <w:rFonts w:ascii="Titillium" w:hAnsi="Titillium" w:cs="Times New Roman"/>
          <w:b/>
          <w:bCs/>
          <w:sz w:val="22"/>
        </w:rPr>
        <w:t>PMG</w:t>
      </w:r>
    </w:p>
    <w:p w14:paraId="5DA3722A" w14:textId="0F0B073E" w:rsidR="004D4D76" w:rsidRPr="00695235" w:rsidRDefault="00450553" w:rsidP="00A212A3">
      <w:pPr>
        <w:pStyle w:val="Rientrocorpodeltesto"/>
        <w:spacing w:after="0" w:line="240" w:lineRule="auto"/>
        <w:ind w:left="0" w:right="-24"/>
        <w:jc w:val="both"/>
        <w:rPr>
          <w:rFonts w:ascii="Titillium" w:hAnsi="Titillium" w:cs="Times New Roman"/>
          <w:sz w:val="22"/>
        </w:rPr>
      </w:pPr>
      <w:r w:rsidRPr="00695235">
        <w:rPr>
          <w:rFonts w:ascii="Titillium" w:hAnsi="Titillium" w:cs="Times New Roman"/>
          <w:sz w:val="22"/>
        </w:rPr>
        <w:t>Il/La sottoscritto/a/La società _____________________________, Codice Fiscale ___________________, P.IVA ___________________, rappresentata da _____________________________ (</w:t>
      </w:r>
      <w:r w:rsidR="00D30191">
        <w:rPr>
          <w:rFonts w:ascii="Titillium" w:hAnsi="Titillium" w:cs="Times New Roman"/>
          <w:sz w:val="22"/>
        </w:rPr>
        <w:t>nel seguito, anche l’Operatore</w:t>
      </w:r>
      <w:r w:rsidRPr="00695235">
        <w:rPr>
          <w:rFonts w:ascii="Titillium" w:hAnsi="Titillium" w:cs="Times New Roman"/>
          <w:sz w:val="22"/>
        </w:rPr>
        <w:t xml:space="preserve">), </w:t>
      </w:r>
    </w:p>
    <w:p w14:paraId="09BC0455" w14:textId="77777777" w:rsidR="004D4D76" w:rsidRPr="00695235" w:rsidRDefault="004D4D76" w:rsidP="00A212A3">
      <w:pPr>
        <w:pStyle w:val="Rientrocorpodeltesto"/>
        <w:spacing w:after="0" w:line="240" w:lineRule="auto"/>
        <w:ind w:left="0" w:right="-24"/>
        <w:jc w:val="both"/>
        <w:rPr>
          <w:rFonts w:ascii="Titillium" w:hAnsi="Titillium" w:cs="Times New Roman"/>
          <w:sz w:val="22"/>
        </w:rPr>
      </w:pPr>
    </w:p>
    <w:p w14:paraId="53F037B7" w14:textId="01FB5EE6" w:rsidR="004D4D76" w:rsidRPr="00A212A3" w:rsidRDefault="003F2D65" w:rsidP="00A212A3">
      <w:pPr>
        <w:pStyle w:val="Rientrocorpodeltesto"/>
        <w:spacing w:after="0" w:line="240" w:lineRule="auto"/>
        <w:ind w:left="0" w:right="-24"/>
        <w:jc w:val="center"/>
        <w:rPr>
          <w:rFonts w:ascii="Titillium" w:hAnsi="Titillium" w:cs="Times New Roman"/>
          <w:b/>
          <w:bCs/>
          <w:sz w:val="22"/>
        </w:rPr>
      </w:pPr>
      <w:r w:rsidRPr="00A212A3">
        <w:rPr>
          <w:rFonts w:ascii="Titillium" w:hAnsi="Titillium" w:cs="Times New Roman"/>
          <w:b/>
          <w:bCs/>
          <w:sz w:val="22"/>
        </w:rPr>
        <w:t>p</w:t>
      </w:r>
      <w:r w:rsidR="004D4D76" w:rsidRPr="00A212A3">
        <w:rPr>
          <w:rFonts w:ascii="Titillium" w:hAnsi="Titillium" w:cs="Times New Roman"/>
          <w:b/>
          <w:bCs/>
          <w:sz w:val="22"/>
        </w:rPr>
        <w:t>remesso che</w:t>
      </w:r>
    </w:p>
    <w:p w14:paraId="48DE4881" w14:textId="77777777" w:rsidR="003F2D65" w:rsidRPr="00A212A3" w:rsidRDefault="003F2D65" w:rsidP="00A212A3">
      <w:pPr>
        <w:pStyle w:val="Rientrocorpodeltesto"/>
        <w:spacing w:after="0" w:line="240" w:lineRule="auto"/>
        <w:ind w:left="0" w:right="-24"/>
        <w:jc w:val="center"/>
        <w:rPr>
          <w:rFonts w:ascii="Titillium" w:hAnsi="Titillium" w:cs="Times New Roman"/>
          <w:b/>
          <w:bCs/>
          <w:sz w:val="22"/>
        </w:rPr>
      </w:pPr>
    </w:p>
    <w:p w14:paraId="1E191C59" w14:textId="5AD1EB0F" w:rsidR="004D4D76" w:rsidRPr="00695235" w:rsidRDefault="004D4D76" w:rsidP="00A212A3">
      <w:pPr>
        <w:pStyle w:val="Rientrocorpodeltesto"/>
        <w:numPr>
          <w:ilvl w:val="0"/>
          <w:numId w:val="20"/>
        </w:numPr>
        <w:spacing w:after="0" w:line="240" w:lineRule="auto"/>
        <w:ind w:right="-24"/>
        <w:jc w:val="both"/>
        <w:rPr>
          <w:rFonts w:ascii="Titillium" w:hAnsi="Titillium" w:cs="Times New Roman"/>
          <w:sz w:val="22"/>
        </w:rPr>
      </w:pPr>
      <w:r w:rsidRPr="00695235">
        <w:rPr>
          <w:rFonts w:ascii="Titillium" w:hAnsi="Titillium" w:cs="Times New Roman"/>
          <w:sz w:val="22"/>
        </w:rPr>
        <w:t xml:space="preserve">l’articolo 3-ter, comma 1 del </w:t>
      </w:r>
      <w:r w:rsidR="00E5112E">
        <w:rPr>
          <w:rFonts w:ascii="Titillium" w:hAnsi="Titillium" w:cs="Times New Roman"/>
          <w:sz w:val="22"/>
        </w:rPr>
        <w:t>d</w:t>
      </w:r>
      <w:r w:rsidRPr="00695235">
        <w:rPr>
          <w:rFonts w:ascii="Titillium" w:hAnsi="Titillium" w:cs="Times New Roman"/>
          <w:sz w:val="22"/>
        </w:rPr>
        <w:t xml:space="preserve">ecreto-legge 57/23 </w:t>
      </w:r>
      <w:r w:rsidRPr="00695235">
        <w:rPr>
          <w:rFonts w:ascii="Titillium" w:hAnsi="Titillium" w:cs="Times New Roman"/>
        </w:rPr>
        <w:t>prevede che l’ARERA provveda a definire prezzi minimi garantiti, ovvero integrazioni dei ricavi conseguenti alla partecipazione al mercato elettrico, per la produzione da impianti alimentati da biogas e biomassa, in esercizio alla data di entrata in vigore del decreto</w:t>
      </w:r>
      <w:r w:rsidR="00E574AF">
        <w:rPr>
          <w:rFonts w:ascii="Titillium" w:hAnsi="Titillium" w:cs="Times New Roman"/>
        </w:rPr>
        <w:t>-</w:t>
      </w:r>
      <w:r w:rsidRPr="00695235">
        <w:rPr>
          <w:rFonts w:ascii="Titillium" w:hAnsi="Titillium" w:cs="Times New Roman"/>
        </w:rPr>
        <w:t>legge, che beneficino di incentivi in scadenza entro il 31 dicembre 2027 ovvero che, entro il medesimo termine, rinuncino agli incentivi per aderire al regime in parola, sulla base dei seguenti criteri:</w:t>
      </w:r>
    </w:p>
    <w:p w14:paraId="44614BE9" w14:textId="77777777" w:rsidR="004D4D76" w:rsidRPr="00695235" w:rsidRDefault="004D4D76" w:rsidP="00A212A3">
      <w:pPr>
        <w:pStyle w:val="Paragrafoelenco"/>
        <w:spacing w:after="120"/>
        <w:ind w:left="1560" w:right="-24" w:hanging="284"/>
        <w:jc w:val="both"/>
        <w:rPr>
          <w:rFonts w:ascii="Titillium" w:hAnsi="Titillium" w:cs="Times New Roman"/>
        </w:rPr>
      </w:pPr>
      <w:r w:rsidRPr="00695235">
        <w:rPr>
          <w:rFonts w:ascii="Titillium" w:hAnsi="Titillium" w:cs="Times New Roman"/>
        </w:rPr>
        <w:t>a) i prezzi minimi garantiti, ovvero le integrazioni dei ricavi, sono corrisposti a copertura dei costi di funzionamento al fine di assicurare la prosecuzione dell’esercizio e il funzionamento efficiente dell’impianto;</w:t>
      </w:r>
    </w:p>
    <w:p w14:paraId="63AA11B8" w14:textId="77777777" w:rsidR="004D4D76" w:rsidRPr="00695235" w:rsidRDefault="004D4D76" w:rsidP="00A212A3">
      <w:pPr>
        <w:pStyle w:val="Paragrafoelenco"/>
        <w:spacing w:after="120"/>
        <w:ind w:left="1560" w:right="-24" w:hanging="284"/>
        <w:jc w:val="both"/>
        <w:rPr>
          <w:rFonts w:ascii="Titillium" w:hAnsi="Titillium" w:cs="Times New Roman"/>
        </w:rPr>
      </w:pPr>
      <w:r w:rsidRPr="00695235">
        <w:rPr>
          <w:rFonts w:ascii="Titillium" w:hAnsi="Titillium" w:cs="Times New Roman"/>
        </w:rPr>
        <w:t>b) i prezzi minimi garantiti, ovvero le integrazioni dei ricavi, sono differenziati in base alla potenza dell’impianto;</w:t>
      </w:r>
    </w:p>
    <w:p w14:paraId="0E76A526" w14:textId="77777777" w:rsidR="004D4D76" w:rsidRPr="00695235" w:rsidRDefault="004D4D76" w:rsidP="00A212A3">
      <w:pPr>
        <w:pStyle w:val="Paragrafoelenco"/>
        <w:spacing w:after="120"/>
        <w:ind w:left="1560" w:right="-24" w:hanging="284"/>
        <w:jc w:val="both"/>
        <w:rPr>
          <w:rFonts w:ascii="Titillium" w:hAnsi="Titillium" w:cs="Times New Roman"/>
        </w:rPr>
      </w:pPr>
      <w:r w:rsidRPr="00695235">
        <w:rPr>
          <w:rFonts w:ascii="Titillium" w:hAnsi="Titillium" w:cs="Times New Roman"/>
        </w:rPr>
        <w:t>c) gli impianti rispettano i requisiti di cui all’articolo 42 del decreto legislativo 199/21;</w:t>
      </w:r>
    </w:p>
    <w:p w14:paraId="78AA6C75" w14:textId="77777777" w:rsidR="004D4D76" w:rsidRPr="00695235" w:rsidRDefault="004D4D76" w:rsidP="00A212A3">
      <w:pPr>
        <w:pStyle w:val="Paragrafoelenco"/>
        <w:spacing w:after="120"/>
        <w:ind w:left="1560" w:right="-24" w:hanging="284"/>
        <w:jc w:val="both"/>
        <w:rPr>
          <w:rFonts w:ascii="Titillium" w:hAnsi="Titillium" w:cs="Times New Roman"/>
        </w:rPr>
      </w:pPr>
      <w:r w:rsidRPr="00695235">
        <w:rPr>
          <w:rFonts w:ascii="Titillium" w:hAnsi="Titillium" w:cs="Times New Roman"/>
        </w:rPr>
        <w:t>d) il valore dei prezzi minimi garantiti, ovvero delle integrazioni dei ricavi, è aggiornato annualmente, tenendo conto dei valori di costo delle materie prime e della necessità di promuovere la progressiva efficienza dei costi degli impianti, anche al fine di evitare incrementi dei prezzi delle materie prime correlati alla presenza di incentivi all’utilizzo energetico delle stesse;</w:t>
      </w:r>
    </w:p>
    <w:p w14:paraId="6CD7E61C" w14:textId="5CC44028" w:rsidR="004D4D76" w:rsidRPr="00A212A3" w:rsidRDefault="004D4D76" w:rsidP="00A212A3">
      <w:pPr>
        <w:pStyle w:val="Paragrafoelenco"/>
        <w:numPr>
          <w:ilvl w:val="0"/>
          <w:numId w:val="20"/>
        </w:numPr>
        <w:spacing w:after="120"/>
        <w:jc w:val="both"/>
        <w:rPr>
          <w:rFonts w:ascii="Titillium" w:hAnsi="Titillium" w:cs="Times New Roman"/>
        </w:rPr>
      </w:pPr>
      <w:r w:rsidRPr="00695235">
        <w:rPr>
          <w:rFonts w:ascii="Titillium" w:hAnsi="Titillium" w:cs="Times New Roman"/>
        </w:rPr>
        <w:t>la deliberazione ARERA 9 aprile 2024 132/2024/R/</w:t>
      </w:r>
      <w:proofErr w:type="spellStart"/>
      <w:r w:rsidR="00E5112E">
        <w:rPr>
          <w:rFonts w:ascii="Titillium" w:hAnsi="Titillium" w:cs="Times New Roman"/>
        </w:rPr>
        <w:t>eel</w:t>
      </w:r>
      <w:proofErr w:type="spellEnd"/>
      <w:r w:rsidR="00E5112E" w:rsidRPr="00695235">
        <w:rPr>
          <w:rFonts w:ascii="Titillium" w:hAnsi="Titillium" w:cs="Times New Roman"/>
        </w:rPr>
        <w:t xml:space="preserve"> </w:t>
      </w:r>
      <w:r w:rsidRPr="00695235">
        <w:rPr>
          <w:rFonts w:ascii="Titillium" w:hAnsi="Titillium" w:cs="Times New Roman"/>
        </w:rPr>
        <w:t xml:space="preserve">(nel seguito, Delibera) definisce </w:t>
      </w:r>
      <w:r w:rsidR="00E5112E" w:rsidRPr="00E5112E">
        <w:rPr>
          <w:rFonts w:ascii="Titillium" w:hAnsi="Titillium" w:cs="Times New Roman"/>
        </w:rPr>
        <w:t>le modalità di remunerazione</w:t>
      </w:r>
      <w:r w:rsidR="00E5112E">
        <w:rPr>
          <w:rFonts w:ascii="Titillium" w:hAnsi="Titillium" w:cs="Times New Roman"/>
        </w:rPr>
        <w:t xml:space="preserve"> </w:t>
      </w:r>
      <w:r w:rsidR="00E5112E" w:rsidRPr="00A212A3">
        <w:rPr>
          <w:rFonts w:ascii="Titillium" w:hAnsi="Titillium" w:cs="Times New Roman"/>
        </w:rPr>
        <w:t>tramite lo strumento dei prezzi minimi garantiti, degli impianti di produzione di</w:t>
      </w:r>
      <w:r w:rsidR="00E5112E">
        <w:rPr>
          <w:rFonts w:ascii="Titillium" w:hAnsi="Titillium" w:cs="Times New Roman"/>
        </w:rPr>
        <w:t xml:space="preserve"> </w:t>
      </w:r>
      <w:r w:rsidR="00E5112E" w:rsidRPr="00A212A3">
        <w:rPr>
          <w:rFonts w:ascii="Titillium" w:hAnsi="Titillium" w:cs="Times New Roman"/>
        </w:rPr>
        <w:t>energia elettrica alimentati da biogas e da biomasse solide,</w:t>
      </w:r>
      <w:r w:rsidRPr="00A212A3">
        <w:rPr>
          <w:rFonts w:ascii="Titillium" w:hAnsi="Titillium" w:cs="Times New Roman"/>
        </w:rPr>
        <w:t xml:space="preserve"> ai sensi dell’articolo 3</w:t>
      </w:r>
      <w:r w:rsidR="00E574AF">
        <w:rPr>
          <w:rFonts w:ascii="Titillium" w:hAnsi="Titillium" w:cs="Times New Roman"/>
        </w:rPr>
        <w:t>-</w:t>
      </w:r>
      <w:r w:rsidRPr="00A212A3">
        <w:rPr>
          <w:rFonts w:ascii="Titillium" w:hAnsi="Titillium" w:cs="Times New Roman"/>
        </w:rPr>
        <w:t>ter del decreto</w:t>
      </w:r>
      <w:r w:rsidRPr="00A212A3">
        <w:t>-</w:t>
      </w:r>
      <w:r w:rsidRPr="00A212A3">
        <w:rPr>
          <w:rFonts w:ascii="Titillium" w:hAnsi="Titillium" w:cs="Times New Roman"/>
        </w:rPr>
        <w:t>legge 57/23</w:t>
      </w:r>
      <w:r w:rsidR="00695235" w:rsidRPr="00A212A3">
        <w:rPr>
          <w:rFonts w:ascii="Titillium" w:hAnsi="Titillium" w:cs="Times New Roman"/>
        </w:rPr>
        <w:t>;</w:t>
      </w:r>
    </w:p>
    <w:p w14:paraId="2D9D01F0" w14:textId="6713A556" w:rsidR="004D4D76" w:rsidRPr="00695235" w:rsidRDefault="004D4D76" w:rsidP="00A212A3">
      <w:pPr>
        <w:pStyle w:val="Paragrafoelenco"/>
        <w:numPr>
          <w:ilvl w:val="0"/>
          <w:numId w:val="20"/>
        </w:numPr>
        <w:spacing w:after="120"/>
        <w:ind w:right="-24"/>
        <w:jc w:val="both"/>
        <w:rPr>
          <w:rFonts w:ascii="Titillium" w:hAnsi="Titillium" w:cs="Times New Roman"/>
          <w:sz w:val="22"/>
        </w:rPr>
      </w:pPr>
      <w:r w:rsidRPr="00695235">
        <w:rPr>
          <w:rFonts w:ascii="Titillium" w:hAnsi="Titillium" w:cs="Times New Roman"/>
        </w:rPr>
        <w:t>l’articolo 3, comma 1, dell’Allegato A alla Delibera stabilisce che</w:t>
      </w:r>
      <w:r w:rsidR="00E5112E">
        <w:rPr>
          <w:rFonts w:ascii="Titillium" w:hAnsi="Titillium" w:cs="Times New Roman"/>
        </w:rPr>
        <w:t>,</w:t>
      </w:r>
      <w:r w:rsidRPr="00695235">
        <w:rPr>
          <w:rFonts w:ascii="Titillium" w:hAnsi="Titillium" w:cs="Times New Roman"/>
        </w:rPr>
        <w:t xml:space="preserve"> ai fini dell’erogazione dei prezzi minimi garantiti, il produttore present</w:t>
      </w:r>
      <w:r w:rsidR="00695235" w:rsidRPr="00695235">
        <w:rPr>
          <w:rFonts w:ascii="Titillium" w:hAnsi="Titillium" w:cs="Times New Roman"/>
        </w:rPr>
        <w:t>i</w:t>
      </w:r>
      <w:r w:rsidRPr="00695235">
        <w:rPr>
          <w:rFonts w:ascii="Titillium" w:hAnsi="Titillium" w:cs="Times New Roman"/>
        </w:rPr>
        <w:t xml:space="preserve"> istanza al GS</w:t>
      </w:r>
      <w:r w:rsidR="0041056F">
        <w:rPr>
          <w:rFonts w:ascii="Titillium" w:hAnsi="Titillium" w:cs="Times New Roman"/>
        </w:rPr>
        <w:t>E</w:t>
      </w:r>
      <w:r w:rsidRPr="00695235">
        <w:rPr>
          <w:rFonts w:ascii="Titillium" w:hAnsi="Titillium" w:cs="Times New Roman"/>
        </w:rPr>
        <w:t xml:space="preserve"> secondo modalità da quest’ultimo definite, in relazione agli impianti di produzione alimentati da biogas e da biomasse solide che rispettano i requisiti di cui all’articolo 3</w:t>
      </w:r>
      <w:r w:rsidR="1D4E9ED7" w:rsidRPr="65449F2B">
        <w:rPr>
          <w:rFonts w:ascii="Titillium" w:hAnsi="Titillium" w:cs="Times New Roman"/>
        </w:rPr>
        <w:t>-</w:t>
      </w:r>
      <w:r w:rsidRPr="00695235">
        <w:rPr>
          <w:rFonts w:ascii="Titillium" w:hAnsi="Titillium" w:cs="Times New Roman"/>
        </w:rPr>
        <w:t xml:space="preserve">ter del decreto-legge 57/23 come </w:t>
      </w:r>
      <w:r w:rsidR="00695235">
        <w:rPr>
          <w:rFonts w:ascii="Titillium" w:hAnsi="Titillium" w:cs="Times New Roman"/>
        </w:rPr>
        <w:t>precisati</w:t>
      </w:r>
      <w:r w:rsidRPr="00695235">
        <w:rPr>
          <w:rFonts w:ascii="Titillium" w:hAnsi="Titillium" w:cs="Times New Roman"/>
        </w:rPr>
        <w:t xml:space="preserve"> dall’articolo 5, comma 3</w:t>
      </w:r>
      <w:r w:rsidR="325DD411" w:rsidRPr="65449F2B">
        <w:rPr>
          <w:rFonts w:ascii="Titillium" w:hAnsi="Titillium" w:cs="Times New Roman"/>
        </w:rPr>
        <w:t>-</w:t>
      </w:r>
      <w:r w:rsidRPr="00695235">
        <w:rPr>
          <w:rFonts w:ascii="Titillium" w:hAnsi="Titillium" w:cs="Times New Roman"/>
        </w:rPr>
        <w:t>bis, del decreto-legge 181/23;</w:t>
      </w:r>
    </w:p>
    <w:p w14:paraId="7B60263B" w14:textId="54049116" w:rsidR="004D4D76" w:rsidRPr="00695235" w:rsidRDefault="004D4D76" w:rsidP="00A212A3">
      <w:pPr>
        <w:pStyle w:val="Paragrafoelenco"/>
        <w:numPr>
          <w:ilvl w:val="0"/>
          <w:numId w:val="20"/>
        </w:numPr>
        <w:autoSpaceDE w:val="0"/>
        <w:autoSpaceDN w:val="0"/>
        <w:adjustRightInd w:val="0"/>
        <w:spacing w:after="120"/>
        <w:ind w:right="-24"/>
        <w:jc w:val="both"/>
        <w:rPr>
          <w:rFonts w:ascii="Titillium" w:hAnsi="Titillium" w:cs="Times New Roman"/>
        </w:rPr>
      </w:pPr>
      <w:r w:rsidRPr="00695235">
        <w:rPr>
          <w:rFonts w:ascii="Titillium" w:hAnsi="Titillium" w:cs="Times New Roman"/>
        </w:rPr>
        <w:lastRenderedPageBreak/>
        <w:t>ai sensi del combinato disposto dei commi 2 e 3 dell’articolo 3 dell’Allegato A alla Delibera, a seguito della richiesta di accesso al</w:t>
      </w:r>
      <w:r w:rsidR="00E5112E">
        <w:rPr>
          <w:rFonts w:ascii="Titillium" w:hAnsi="Titillium" w:cs="Times New Roman"/>
        </w:rPr>
        <w:t>la remunerazione dei prezzi minimi garantiti (nel seguito,</w:t>
      </w:r>
      <w:r w:rsidRPr="00695235">
        <w:rPr>
          <w:rFonts w:ascii="Titillium" w:hAnsi="Titillium" w:cs="Times New Roman"/>
        </w:rPr>
        <w:t xml:space="preserve"> meccanismo BIO-PMG</w:t>
      </w:r>
      <w:r w:rsidR="00E5112E">
        <w:rPr>
          <w:rFonts w:ascii="Titillium" w:hAnsi="Titillium" w:cs="Times New Roman"/>
        </w:rPr>
        <w:t>)</w:t>
      </w:r>
      <w:r w:rsidRPr="00695235">
        <w:rPr>
          <w:rFonts w:ascii="Titillium" w:hAnsi="Titillium" w:cs="Times New Roman"/>
        </w:rPr>
        <w:t xml:space="preserve">, il GSE stipula con il produttore </w:t>
      </w:r>
      <w:r w:rsidR="00E574AF">
        <w:rPr>
          <w:rFonts w:ascii="Titillium" w:hAnsi="Titillium" w:cs="Times New Roman"/>
        </w:rPr>
        <w:t>un contratto</w:t>
      </w:r>
      <w:r w:rsidRPr="00695235">
        <w:rPr>
          <w:rFonts w:ascii="Titillium" w:hAnsi="Titillium" w:cs="Times New Roman"/>
        </w:rPr>
        <w:t xml:space="preserve"> esclusivamente finalizzat</w:t>
      </w:r>
      <w:r w:rsidR="00E574AF">
        <w:rPr>
          <w:rFonts w:ascii="Titillium" w:hAnsi="Titillium" w:cs="Times New Roman"/>
        </w:rPr>
        <w:t>o</w:t>
      </w:r>
      <w:r w:rsidRPr="00695235">
        <w:rPr>
          <w:rFonts w:ascii="Titillium" w:hAnsi="Titillium" w:cs="Times New Roman"/>
        </w:rPr>
        <w:t xml:space="preserve"> all’erogazione dei </w:t>
      </w:r>
      <w:r w:rsidR="00E5112E">
        <w:rPr>
          <w:rFonts w:ascii="Titillium" w:hAnsi="Titillium" w:cs="Times New Roman"/>
        </w:rPr>
        <w:t xml:space="preserve">suddetti </w:t>
      </w:r>
      <w:r w:rsidRPr="00695235">
        <w:rPr>
          <w:rFonts w:ascii="Titillium" w:hAnsi="Titillium" w:cs="Times New Roman"/>
        </w:rPr>
        <w:t>prezzi minimi garantiti;</w:t>
      </w:r>
    </w:p>
    <w:p w14:paraId="0CBECDBF" w14:textId="5007CB1A" w:rsidR="00083EE7" w:rsidRPr="00083EE7" w:rsidRDefault="00F77B40" w:rsidP="00A212A3">
      <w:pPr>
        <w:pStyle w:val="Paragrafoelenco"/>
        <w:numPr>
          <w:ilvl w:val="0"/>
          <w:numId w:val="20"/>
        </w:numPr>
        <w:spacing w:after="120"/>
        <w:ind w:right="-24"/>
        <w:jc w:val="both"/>
        <w:rPr>
          <w:rFonts w:ascii="Titillium" w:hAnsi="Titillium" w:cs="Times New Roman"/>
        </w:rPr>
      </w:pPr>
      <w:r w:rsidRPr="00695235">
        <w:rPr>
          <w:rFonts w:ascii="Titillium" w:hAnsi="Titillium" w:cs="Times New Roman"/>
        </w:rPr>
        <w:t>ai sensi dell’articolo 3, comma 3, dell’</w:t>
      </w:r>
      <w:r w:rsidR="004D4D76" w:rsidRPr="00695235">
        <w:rPr>
          <w:rFonts w:ascii="Titillium" w:hAnsi="Titillium" w:cs="Times New Roman"/>
        </w:rPr>
        <w:t xml:space="preserve">Allegato A alla Delibera, i produttori possono chiedere al GSE, entro il 30 giugno 2024, che la decorrenza della convenzione BIO-PMG abbia effetti antecedenti alla data della richiesta di accesso ma comunque non antecedenti al 28 luglio 2023, a condizione che, nel periodo per cui è </w:t>
      </w:r>
      <w:r w:rsidR="00A212A3">
        <w:rPr>
          <w:rFonts w:ascii="Titillium" w:hAnsi="Titillium" w:cs="Times New Roman"/>
        </w:rPr>
        <w:t>ri</w:t>
      </w:r>
      <w:r w:rsidR="004D4D76" w:rsidRPr="00695235">
        <w:rPr>
          <w:rFonts w:ascii="Titillium" w:hAnsi="Titillium" w:cs="Times New Roman"/>
        </w:rPr>
        <w:t>chiesta l’applicazione dei prezzi minimi garantiti, siano rispettati i requisiti di cui all’articolo 3</w:t>
      </w:r>
      <w:r w:rsidR="5D1C9743" w:rsidRPr="65449F2B">
        <w:rPr>
          <w:rFonts w:ascii="Titillium" w:hAnsi="Titillium" w:cs="Times New Roman"/>
        </w:rPr>
        <w:t>-</w:t>
      </w:r>
      <w:r w:rsidR="004D4D76" w:rsidRPr="00695235">
        <w:rPr>
          <w:rFonts w:ascii="Titillium" w:hAnsi="Titillium" w:cs="Times New Roman"/>
        </w:rPr>
        <w:t>ter del decreto-legge 57/23</w:t>
      </w:r>
      <w:r w:rsidR="00083EE7">
        <w:rPr>
          <w:rFonts w:ascii="Titillium" w:hAnsi="Titillium" w:cs="Times New Roman"/>
        </w:rPr>
        <w:t>.</w:t>
      </w:r>
    </w:p>
    <w:p w14:paraId="5D9DB24A" w14:textId="1EF9A3D4" w:rsidR="009D71B8" w:rsidRPr="00695235" w:rsidRDefault="009D71B8" w:rsidP="00A212A3">
      <w:pPr>
        <w:pStyle w:val="Rientrocorpodeltesto"/>
        <w:spacing w:after="0" w:line="240" w:lineRule="auto"/>
        <w:ind w:left="0" w:right="-24" w:firstLine="709"/>
        <w:jc w:val="both"/>
        <w:rPr>
          <w:rFonts w:ascii="Titillium" w:hAnsi="Titillium" w:cs="Times New Roman"/>
        </w:rPr>
      </w:pPr>
      <w:r w:rsidRPr="00695235">
        <w:rPr>
          <w:rFonts w:ascii="Titillium" w:hAnsi="Titillium" w:cs="Times New Roman"/>
        </w:rPr>
        <w:t xml:space="preserve">Tutto quanto sopra premesso la scrivente società, nelle more dell’apertura da parte del GSE del portale BIO-PMG per l’invio delle richieste di </w:t>
      </w:r>
      <w:r w:rsidRPr="009F6FE9">
        <w:rPr>
          <w:rFonts w:ascii="Titillium" w:hAnsi="Titillium" w:cs="Times New Roman"/>
        </w:rPr>
        <w:t>accesso al meccanismo</w:t>
      </w:r>
      <w:r w:rsidR="009F6FE9" w:rsidRPr="009F6FE9">
        <w:rPr>
          <w:rFonts w:ascii="Titillium" w:hAnsi="Titillium" w:cs="Times New Roman"/>
        </w:rPr>
        <w:t xml:space="preserve"> BIO-PMG</w:t>
      </w:r>
      <w:r w:rsidRPr="009F6FE9">
        <w:rPr>
          <w:rFonts w:ascii="Titillium" w:hAnsi="Titillium" w:cs="Times New Roman"/>
        </w:rPr>
        <w:t>,</w:t>
      </w:r>
    </w:p>
    <w:p w14:paraId="0F8BF538" w14:textId="77777777" w:rsidR="00695235" w:rsidRPr="00695235" w:rsidRDefault="00695235" w:rsidP="00A212A3">
      <w:pPr>
        <w:pStyle w:val="Rientrocorpodeltesto"/>
        <w:spacing w:after="0" w:line="240" w:lineRule="auto"/>
        <w:ind w:left="0" w:right="-24"/>
        <w:jc w:val="both"/>
        <w:rPr>
          <w:rFonts w:ascii="Titillium" w:hAnsi="Titillium" w:cs="Times New Roman"/>
        </w:rPr>
      </w:pPr>
    </w:p>
    <w:p w14:paraId="0A387C55" w14:textId="40EF3373" w:rsidR="009D71B8" w:rsidRPr="00695235" w:rsidRDefault="009D71B8" w:rsidP="00A212A3">
      <w:pPr>
        <w:pStyle w:val="Rientrocorpodeltesto"/>
        <w:spacing w:after="0" w:line="240" w:lineRule="auto"/>
        <w:ind w:left="0" w:right="-24"/>
        <w:jc w:val="center"/>
        <w:rPr>
          <w:rFonts w:ascii="Titillium" w:hAnsi="Titillium" w:cs="Times New Roman"/>
          <w:b/>
          <w:bCs/>
        </w:rPr>
      </w:pPr>
      <w:r w:rsidRPr="00695235">
        <w:rPr>
          <w:rFonts w:ascii="Titillium" w:hAnsi="Titillium" w:cs="Times New Roman"/>
          <w:b/>
          <w:bCs/>
        </w:rPr>
        <w:t>esprime</w:t>
      </w:r>
    </w:p>
    <w:p w14:paraId="0CEE2532" w14:textId="77777777" w:rsidR="00D8550E" w:rsidRPr="00695235" w:rsidRDefault="00D8550E" w:rsidP="00A212A3">
      <w:pPr>
        <w:pStyle w:val="Rientrocorpodeltesto"/>
        <w:spacing w:after="0" w:line="240" w:lineRule="auto"/>
        <w:ind w:left="0" w:right="-24"/>
        <w:jc w:val="both"/>
        <w:rPr>
          <w:rFonts w:ascii="Titillium" w:hAnsi="Titillium" w:cs="Times New Roman"/>
        </w:rPr>
      </w:pPr>
    </w:p>
    <w:p w14:paraId="34512B9D" w14:textId="6170D030" w:rsidR="00D8550E" w:rsidRDefault="643C848A" w:rsidP="00A212A3">
      <w:pPr>
        <w:pStyle w:val="Rientrocorpodeltesto"/>
        <w:spacing w:after="0" w:line="240" w:lineRule="auto"/>
        <w:ind w:left="0" w:right="-24" w:firstLine="709"/>
        <w:jc w:val="both"/>
        <w:rPr>
          <w:rFonts w:ascii="Titillium" w:hAnsi="Titillium" w:cs="Times New Roman"/>
        </w:rPr>
      </w:pPr>
      <w:r w:rsidRPr="61DE34E3">
        <w:rPr>
          <w:rFonts w:ascii="Titillium" w:hAnsi="Titillium" w:cs="Times New Roman"/>
        </w:rPr>
        <w:t xml:space="preserve">il proprio interesse </w:t>
      </w:r>
      <w:r w:rsidRPr="00A212A3">
        <w:rPr>
          <w:rFonts w:ascii="Titillium" w:hAnsi="Titillium" w:cs="Times New Roman"/>
        </w:rPr>
        <w:t>non vincolante</w:t>
      </w:r>
      <w:r w:rsidRPr="61DE34E3">
        <w:rPr>
          <w:rFonts w:ascii="Titillium" w:hAnsi="Titillium" w:cs="Times New Roman"/>
        </w:rPr>
        <w:t xml:space="preserve"> </w:t>
      </w:r>
      <w:r w:rsidR="5859A4EC" w:rsidRPr="61DE34E3">
        <w:rPr>
          <w:rFonts w:ascii="Titillium" w:hAnsi="Titillium" w:cs="Times New Roman"/>
        </w:rPr>
        <w:t xml:space="preserve">ad </w:t>
      </w:r>
      <w:r w:rsidR="7F26AC5F" w:rsidRPr="61DE34E3">
        <w:rPr>
          <w:rFonts w:ascii="Titillium" w:hAnsi="Titillium" w:cs="Times New Roman"/>
        </w:rPr>
        <w:t>acce</w:t>
      </w:r>
      <w:r w:rsidR="0D500E43" w:rsidRPr="61DE34E3">
        <w:rPr>
          <w:rFonts w:ascii="Titillium" w:hAnsi="Titillium" w:cs="Times New Roman"/>
        </w:rPr>
        <w:t>dere</w:t>
      </w:r>
      <w:r w:rsidR="689F106D" w:rsidRPr="61DE34E3">
        <w:rPr>
          <w:rFonts w:ascii="Titillium" w:hAnsi="Titillium" w:cs="Times New Roman"/>
        </w:rPr>
        <w:t xml:space="preserve"> al</w:t>
      </w:r>
      <w:r w:rsidRPr="61DE34E3">
        <w:rPr>
          <w:rFonts w:ascii="Titillium" w:hAnsi="Titillium" w:cs="Times New Roman"/>
        </w:rPr>
        <w:t xml:space="preserve"> meccanismo in oggetto </w:t>
      </w:r>
      <w:r w:rsidR="2CE8F333" w:rsidRPr="61DE34E3">
        <w:rPr>
          <w:rFonts w:ascii="Titillium" w:hAnsi="Titillium" w:cs="Times New Roman"/>
        </w:rPr>
        <w:t xml:space="preserve">con effetti antecedenti alla data della </w:t>
      </w:r>
      <w:r w:rsidR="1E37C351" w:rsidRPr="61DE34E3">
        <w:rPr>
          <w:rFonts w:ascii="Titillium" w:hAnsi="Titillium" w:cs="Times New Roman"/>
        </w:rPr>
        <w:t xml:space="preserve">presente </w:t>
      </w:r>
      <w:r w:rsidR="2CE8F333" w:rsidRPr="61DE34E3">
        <w:rPr>
          <w:rFonts w:ascii="Titillium" w:hAnsi="Titillium" w:cs="Times New Roman"/>
        </w:rPr>
        <w:t>richiesta e comunque non antecedenti al 28 luglio 2023, ove ne ricorrano le condizion</w:t>
      </w:r>
      <w:r w:rsidR="2EC47725" w:rsidRPr="61DE34E3">
        <w:rPr>
          <w:rFonts w:ascii="Titillium" w:hAnsi="Titillium" w:cs="Times New Roman"/>
        </w:rPr>
        <w:t>i</w:t>
      </w:r>
      <w:r w:rsidR="0DFB4931" w:rsidRPr="61DE34E3">
        <w:rPr>
          <w:rFonts w:ascii="Titillium" w:hAnsi="Titillium" w:cs="Times New Roman"/>
        </w:rPr>
        <w:t>.</w:t>
      </w:r>
      <w:r w:rsidR="689F106D" w:rsidRPr="61DE34E3">
        <w:rPr>
          <w:rFonts w:ascii="Titillium" w:hAnsi="Titillium" w:cs="Times New Roman"/>
        </w:rPr>
        <w:t xml:space="preserve"> </w:t>
      </w:r>
      <w:r w:rsidR="529E2A75" w:rsidRPr="61DE34E3">
        <w:rPr>
          <w:rFonts w:ascii="Titillium" w:hAnsi="Titillium" w:cs="Times New Roman"/>
        </w:rPr>
        <w:t>A</w:t>
      </w:r>
      <w:r w:rsidR="689F106D" w:rsidRPr="61DE34E3">
        <w:rPr>
          <w:rFonts w:ascii="Titillium" w:hAnsi="Titillium" w:cs="Times New Roman"/>
        </w:rPr>
        <w:t xml:space="preserve"> tal fine </w:t>
      </w:r>
    </w:p>
    <w:p w14:paraId="4B7182EB" w14:textId="00255C43" w:rsidR="00D8550E" w:rsidRPr="00695235" w:rsidRDefault="00D8550E" w:rsidP="00A212A3">
      <w:pPr>
        <w:pStyle w:val="Rientrocorpodeltesto"/>
        <w:spacing w:after="0" w:line="240" w:lineRule="auto"/>
        <w:ind w:left="0" w:right="-24"/>
        <w:jc w:val="center"/>
        <w:rPr>
          <w:rFonts w:ascii="Titillium" w:hAnsi="Titillium" w:cs="Times New Roman"/>
          <w:b/>
          <w:bCs/>
        </w:rPr>
      </w:pPr>
      <w:r w:rsidRPr="00695235">
        <w:rPr>
          <w:rFonts w:ascii="Titillium" w:hAnsi="Titillium" w:cs="Times New Roman"/>
          <w:b/>
          <w:bCs/>
        </w:rPr>
        <w:t>dichiara</w:t>
      </w:r>
    </w:p>
    <w:p w14:paraId="1794C09A" w14:textId="77777777" w:rsidR="00D8550E" w:rsidRPr="00695235" w:rsidRDefault="00D8550E" w:rsidP="00A212A3">
      <w:pPr>
        <w:pStyle w:val="Rientrocorpodeltesto"/>
        <w:spacing w:after="0" w:line="240" w:lineRule="auto"/>
        <w:ind w:left="0" w:right="-24"/>
        <w:jc w:val="both"/>
        <w:rPr>
          <w:rFonts w:ascii="Titillium" w:hAnsi="Titillium" w:cs="Times New Roman"/>
        </w:rPr>
      </w:pPr>
    </w:p>
    <w:p w14:paraId="2D058C26" w14:textId="3FEFB80D" w:rsidR="00D8550E" w:rsidRPr="00695235" w:rsidRDefault="689F106D" w:rsidP="00A212A3">
      <w:pPr>
        <w:pStyle w:val="Rientrocorpodeltesto"/>
        <w:numPr>
          <w:ilvl w:val="0"/>
          <w:numId w:val="20"/>
        </w:numPr>
        <w:ind w:left="714" w:right="-24" w:hanging="357"/>
        <w:jc w:val="both"/>
        <w:rPr>
          <w:rFonts w:ascii="Titillium" w:hAnsi="Titillium" w:cs="Times New Roman"/>
        </w:rPr>
      </w:pPr>
      <w:r w:rsidRPr="61DE34E3">
        <w:rPr>
          <w:rFonts w:ascii="Titillium" w:hAnsi="Titillium" w:cs="Times New Roman"/>
        </w:rPr>
        <w:t>che l’impianto per cui si richiede l’accesso al meccanismo BIO</w:t>
      </w:r>
      <w:r w:rsidR="03947AB9" w:rsidRPr="61DE34E3">
        <w:rPr>
          <w:rFonts w:ascii="Titillium" w:hAnsi="Titillium" w:cs="Times New Roman"/>
        </w:rPr>
        <w:t>-</w:t>
      </w:r>
      <w:r w:rsidRPr="61DE34E3">
        <w:rPr>
          <w:rFonts w:ascii="Titillium" w:hAnsi="Titillium" w:cs="Times New Roman"/>
        </w:rPr>
        <w:t>PMG è identificato dal CENSIMP _________ e dalla UP_______</w:t>
      </w:r>
      <w:r w:rsidR="00A212A3">
        <w:rPr>
          <w:rFonts w:ascii="Titillium" w:hAnsi="Titillium" w:cs="Times New Roman"/>
        </w:rPr>
        <w:t>______</w:t>
      </w:r>
      <w:r w:rsidRPr="61DE34E3">
        <w:rPr>
          <w:rFonts w:ascii="Titillium" w:hAnsi="Titillium" w:cs="Times New Roman"/>
        </w:rPr>
        <w:t xml:space="preserve"> (nel seguito, Impianto);</w:t>
      </w:r>
    </w:p>
    <w:p w14:paraId="48DE5B48" w14:textId="2EDD35CF" w:rsidR="00D8550E" w:rsidRPr="00695235" w:rsidRDefault="00D8550E" w:rsidP="00A212A3">
      <w:pPr>
        <w:pStyle w:val="Rientrocorpodeltesto"/>
        <w:numPr>
          <w:ilvl w:val="0"/>
          <w:numId w:val="20"/>
        </w:numPr>
        <w:ind w:left="714" w:right="-24" w:hanging="357"/>
        <w:jc w:val="both"/>
        <w:rPr>
          <w:rFonts w:ascii="Titillium" w:hAnsi="Titillium" w:cs="Times New Roman"/>
        </w:rPr>
      </w:pPr>
      <w:r w:rsidRPr="00695235">
        <w:rPr>
          <w:rFonts w:ascii="Titillium" w:hAnsi="Titillium" w:cs="Times New Roman"/>
        </w:rPr>
        <w:t xml:space="preserve">che l’Impianto rispetta i requisiti di cui all’articolo 3-ter, comma 1 del </w:t>
      </w:r>
      <w:r w:rsidR="1171D56E" w:rsidRPr="65449F2B">
        <w:rPr>
          <w:rFonts w:ascii="Titillium" w:hAnsi="Titillium" w:cs="Times New Roman"/>
        </w:rPr>
        <w:t>d</w:t>
      </w:r>
      <w:r w:rsidR="29BA1808" w:rsidRPr="65449F2B">
        <w:rPr>
          <w:rFonts w:ascii="Titillium" w:hAnsi="Titillium" w:cs="Times New Roman"/>
        </w:rPr>
        <w:t>ecreto</w:t>
      </w:r>
      <w:r w:rsidRPr="00695235">
        <w:rPr>
          <w:rFonts w:ascii="Titillium" w:hAnsi="Titillium" w:cs="Times New Roman"/>
        </w:rPr>
        <w:t>-legge 57/23 come precisati dall’articolo 5, comma 3</w:t>
      </w:r>
      <w:r w:rsidR="692BD850" w:rsidRPr="65449F2B">
        <w:rPr>
          <w:rFonts w:ascii="Titillium" w:hAnsi="Titillium" w:cs="Times New Roman"/>
        </w:rPr>
        <w:t>-</w:t>
      </w:r>
      <w:r w:rsidRPr="00695235">
        <w:rPr>
          <w:rFonts w:ascii="Titillium" w:hAnsi="Titillium" w:cs="Times New Roman"/>
        </w:rPr>
        <w:t xml:space="preserve">bis del </w:t>
      </w:r>
      <w:r w:rsidR="61B4412E" w:rsidRPr="65449F2B">
        <w:rPr>
          <w:rFonts w:ascii="Titillium" w:hAnsi="Titillium" w:cs="Times New Roman"/>
        </w:rPr>
        <w:t>d</w:t>
      </w:r>
      <w:r w:rsidR="29BA1808" w:rsidRPr="65449F2B">
        <w:rPr>
          <w:rFonts w:ascii="Titillium" w:hAnsi="Titillium" w:cs="Times New Roman"/>
        </w:rPr>
        <w:t>ecreto</w:t>
      </w:r>
      <w:r w:rsidRPr="00695235">
        <w:rPr>
          <w:rFonts w:ascii="Titillium" w:hAnsi="Titillium" w:cs="Times New Roman"/>
        </w:rPr>
        <w:t>-legge 181/23;</w:t>
      </w:r>
    </w:p>
    <w:p w14:paraId="66E2AC2C" w14:textId="6D6D8E51" w:rsidR="00D8550E" w:rsidRPr="00695235" w:rsidRDefault="689F106D" w:rsidP="00A212A3">
      <w:pPr>
        <w:pStyle w:val="Rientrocorpodeltesto"/>
        <w:numPr>
          <w:ilvl w:val="0"/>
          <w:numId w:val="20"/>
        </w:numPr>
        <w:ind w:right="-24"/>
        <w:jc w:val="both"/>
        <w:rPr>
          <w:rFonts w:ascii="Titillium" w:hAnsi="Titillium" w:cs="Times New Roman"/>
        </w:rPr>
      </w:pPr>
      <w:r w:rsidRPr="61DE34E3">
        <w:rPr>
          <w:rFonts w:ascii="Titillium" w:hAnsi="Titillium" w:cs="Times New Roman"/>
        </w:rPr>
        <w:t xml:space="preserve">di essere consapevole che </w:t>
      </w:r>
      <w:r w:rsidR="68E7D8FB" w:rsidRPr="61DE34E3">
        <w:rPr>
          <w:rFonts w:ascii="Titillium" w:hAnsi="Titillium" w:cs="Times New Roman"/>
        </w:rPr>
        <w:t>l’accesso al meccanismo è subordinato alla</w:t>
      </w:r>
      <w:r w:rsidRPr="61DE34E3">
        <w:rPr>
          <w:rFonts w:ascii="Titillium" w:hAnsi="Titillium" w:cs="Times New Roman"/>
        </w:rPr>
        <w:t xml:space="preserve"> presenta</w:t>
      </w:r>
      <w:r w:rsidR="4D7C5E3C" w:rsidRPr="61DE34E3">
        <w:rPr>
          <w:rFonts w:ascii="Titillium" w:hAnsi="Titillium" w:cs="Times New Roman"/>
        </w:rPr>
        <w:t>zione</w:t>
      </w:r>
      <w:r w:rsidRPr="61DE34E3">
        <w:rPr>
          <w:rFonts w:ascii="Titillium" w:hAnsi="Titillium" w:cs="Times New Roman"/>
        </w:rPr>
        <w:t xml:space="preserve"> </w:t>
      </w:r>
      <w:r w:rsidR="10EF62DD" w:rsidRPr="61DE34E3">
        <w:rPr>
          <w:rFonts w:ascii="Titillium" w:hAnsi="Titillium" w:cs="Times New Roman"/>
        </w:rPr>
        <w:t xml:space="preserve">di </w:t>
      </w:r>
      <w:r w:rsidR="00A212A3">
        <w:rPr>
          <w:rFonts w:ascii="Titillium" w:hAnsi="Titillium" w:cs="Times New Roman"/>
        </w:rPr>
        <w:t>un’</w:t>
      </w:r>
      <w:r w:rsidRPr="61DE34E3">
        <w:rPr>
          <w:rFonts w:ascii="Titillium" w:hAnsi="Titillium" w:cs="Times New Roman"/>
        </w:rPr>
        <w:t xml:space="preserve">apposita istanza </w:t>
      </w:r>
      <w:r w:rsidR="2CE8F333" w:rsidRPr="00A212A3">
        <w:rPr>
          <w:rFonts w:ascii="Titillium" w:hAnsi="Titillium" w:cs="Times New Roman"/>
        </w:rPr>
        <w:t>tramite il portale BIO-PMG secondo modalità che il GSE renderà successivamente note</w:t>
      </w:r>
      <w:r w:rsidRPr="61DE34E3">
        <w:rPr>
          <w:rFonts w:ascii="Titillium" w:hAnsi="Titillium" w:cs="Times New Roman"/>
        </w:rPr>
        <w:t xml:space="preserve"> e </w:t>
      </w:r>
      <w:r w:rsidR="026A3F8C" w:rsidRPr="61DE34E3">
        <w:rPr>
          <w:rFonts w:ascii="Titillium" w:hAnsi="Titillium" w:cs="Times New Roman"/>
        </w:rPr>
        <w:t xml:space="preserve">al suo eventuale accoglimento e </w:t>
      </w:r>
      <w:r w:rsidRPr="61DE34E3">
        <w:rPr>
          <w:rFonts w:ascii="Titillium" w:hAnsi="Titillium" w:cs="Times New Roman"/>
        </w:rPr>
        <w:t xml:space="preserve">che pertanto la presente </w:t>
      </w:r>
      <w:r w:rsidR="00C31149" w:rsidRPr="61DE34E3">
        <w:rPr>
          <w:rFonts w:ascii="Titillium" w:hAnsi="Titillium" w:cs="Times New Roman"/>
        </w:rPr>
        <w:t>istanza</w:t>
      </w:r>
      <w:r w:rsidRPr="61DE34E3">
        <w:rPr>
          <w:rFonts w:ascii="Titillium" w:hAnsi="Titillium" w:cs="Times New Roman"/>
        </w:rPr>
        <w:t xml:space="preserve"> non potrà essere considerata</w:t>
      </w:r>
      <w:r w:rsidR="10F75BD1" w:rsidRPr="61DE34E3">
        <w:rPr>
          <w:rFonts w:ascii="Titillium" w:hAnsi="Titillium" w:cs="Times New Roman"/>
        </w:rPr>
        <w:t xml:space="preserve"> </w:t>
      </w:r>
      <w:r w:rsidRPr="61DE34E3">
        <w:rPr>
          <w:rFonts w:ascii="Titillium" w:hAnsi="Titillium" w:cs="Times New Roman"/>
        </w:rPr>
        <w:t>come richiesta di accesso al meccanismo</w:t>
      </w:r>
      <w:r w:rsidR="79577518" w:rsidRPr="61DE34E3">
        <w:rPr>
          <w:rFonts w:ascii="Titillium" w:hAnsi="Titillium" w:cs="Times New Roman"/>
        </w:rPr>
        <w:t>,</w:t>
      </w:r>
      <w:r w:rsidR="2CE8F333" w:rsidRPr="61DE34E3">
        <w:rPr>
          <w:rFonts w:ascii="Titillium" w:hAnsi="Titillium" w:cs="Times New Roman"/>
        </w:rPr>
        <w:t xml:space="preserve"> ma rileva ai </w:t>
      </w:r>
      <w:r w:rsidR="64FFBACB" w:rsidRPr="61DE34E3">
        <w:rPr>
          <w:rFonts w:ascii="Titillium" w:hAnsi="Titillium" w:cs="Times New Roman"/>
        </w:rPr>
        <w:t xml:space="preserve">soli </w:t>
      </w:r>
      <w:r w:rsidR="2CE8F333" w:rsidRPr="61DE34E3">
        <w:rPr>
          <w:rFonts w:ascii="Titillium" w:hAnsi="Titillium" w:cs="Times New Roman"/>
        </w:rPr>
        <w:t xml:space="preserve">fini della decorrenza della </w:t>
      </w:r>
      <w:r w:rsidR="0F820E49" w:rsidRPr="61DE34E3">
        <w:rPr>
          <w:rFonts w:ascii="Titillium" w:hAnsi="Titillium" w:cs="Times New Roman"/>
        </w:rPr>
        <w:t xml:space="preserve">regolazione </w:t>
      </w:r>
      <w:r w:rsidR="7D7DE231" w:rsidRPr="61DE34E3">
        <w:rPr>
          <w:rFonts w:ascii="Titillium" w:hAnsi="Titillium" w:cs="Times New Roman"/>
        </w:rPr>
        <w:t>de</w:t>
      </w:r>
      <w:r w:rsidR="330854AB" w:rsidRPr="61DE34E3">
        <w:rPr>
          <w:rFonts w:ascii="Titillium" w:hAnsi="Titillium" w:cs="Times New Roman"/>
        </w:rPr>
        <w:t>gli</w:t>
      </w:r>
      <w:r w:rsidR="66F268FF" w:rsidRPr="61DE34E3">
        <w:rPr>
          <w:rFonts w:ascii="Titillium" w:hAnsi="Titillium" w:cs="Times New Roman"/>
        </w:rPr>
        <w:t xml:space="preserve"> eventuali </w:t>
      </w:r>
      <w:r w:rsidR="7D7DE231" w:rsidRPr="61DE34E3">
        <w:rPr>
          <w:rFonts w:ascii="Titillium" w:hAnsi="Titillium" w:cs="Times New Roman"/>
        </w:rPr>
        <w:t xml:space="preserve">corrispettivi </w:t>
      </w:r>
      <w:r w:rsidR="4364E067" w:rsidRPr="61DE34E3">
        <w:rPr>
          <w:rFonts w:ascii="Titillium" w:hAnsi="Titillium" w:cs="Times New Roman"/>
        </w:rPr>
        <w:t>spettanti</w:t>
      </w:r>
      <w:r w:rsidR="7ACB03A2" w:rsidRPr="61DE34E3">
        <w:rPr>
          <w:rFonts w:ascii="Titillium" w:hAnsi="Titillium" w:cs="Times New Roman"/>
        </w:rPr>
        <w:t>,</w:t>
      </w:r>
      <w:r w:rsidR="4364E067" w:rsidRPr="61DE34E3">
        <w:rPr>
          <w:rFonts w:ascii="Titillium" w:hAnsi="Titillium" w:cs="Times New Roman"/>
        </w:rPr>
        <w:t xml:space="preserve"> </w:t>
      </w:r>
      <w:r w:rsidR="2CE8F333" w:rsidRPr="61DE34E3">
        <w:rPr>
          <w:rFonts w:ascii="Titillium" w:hAnsi="Titillium" w:cs="Times New Roman"/>
        </w:rPr>
        <w:t>con effetti comunque non antecedenti al 28 luglio 2023</w:t>
      </w:r>
      <w:r w:rsidRPr="61DE34E3">
        <w:rPr>
          <w:rFonts w:ascii="Titillium" w:hAnsi="Titillium" w:cs="Times New Roman"/>
        </w:rPr>
        <w:t>;</w:t>
      </w:r>
    </w:p>
    <w:p w14:paraId="1560ABF4" w14:textId="352E9A51" w:rsidR="00D8550E" w:rsidRPr="00695235" w:rsidRDefault="00D8550E" w:rsidP="00A212A3">
      <w:pPr>
        <w:pStyle w:val="Rientrocorpodeltesto"/>
        <w:numPr>
          <w:ilvl w:val="0"/>
          <w:numId w:val="20"/>
        </w:numPr>
        <w:ind w:left="714" w:right="-24" w:hanging="357"/>
        <w:jc w:val="both"/>
        <w:rPr>
          <w:rFonts w:ascii="Titillium" w:hAnsi="Titillium" w:cs="Times New Roman"/>
        </w:rPr>
      </w:pPr>
      <w:r w:rsidRPr="00695235">
        <w:rPr>
          <w:rFonts w:ascii="Titillium" w:hAnsi="Titillium" w:cs="Times New Roman"/>
        </w:rPr>
        <w:t>di essere consapevole che l’accesso al meccanismo BIO-PMG è alternativo all’erogazione degli incentivi GSE e che pertanto</w:t>
      </w:r>
      <w:r w:rsidR="00755F98">
        <w:rPr>
          <w:rFonts w:ascii="Titillium" w:hAnsi="Titillium" w:cs="Times New Roman"/>
        </w:rPr>
        <w:t xml:space="preserve"> l’applicazione dei PMG ha inizio dal giorno successivo a quello in cui termina o è terminato il diritto all’incentivo (per scadenza o esplicita rinuncia) </w:t>
      </w:r>
      <w:r w:rsidR="00755F98" w:rsidRPr="61DE34E3">
        <w:rPr>
          <w:rFonts w:ascii="Titillium" w:hAnsi="Titillium" w:cs="Times New Roman"/>
        </w:rPr>
        <w:t>comunque non antecedent</w:t>
      </w:r>
      <w:r w:rsidR="00755F98">
        <w:rPr>
          <w:rFonts w:ascii="Titillium" w:hAnsi="Titillium" w:cs="Times New Roman"/>
        </w:rPr>
        <w:t>e</w:t>
      </w:r>
      <w:r w:rsidR="00755F98" w:rsidRPr="61DE34E3">
        <w:rPr>
          <w:rFonts w:ascii="Titillium" w:hAnsi="Titillium" w:cs="Times New Roman"/>
        </w:rPr>
        <w:t xml:space="preserve"> al 28 luglio 2023</w:t>
      </w:r>
      <w:r w:rsidRPr="00695235">
        <w:rPr>
          <w:rFonts w:ascii="Titillium" w:hAnsi="Titillium" w:cs="Times New Roman"/>
        </w:rPr>
        <w:t>.</w:t>
      </w:r>
    </w:p>
    <w:p w14:paraId="54E3FEF3" w14:textId="77777777" w:rsidR="00695235" w:rsidRPr="00695235" w:rsidRDefault="00695235" w:rsidP="00A212A3">
      <w:pPr>
        <w:pStyle w:val="Rientrocorpodeltesto"/>
        <w:spacing w:after="0" w:line="240" w:lineRule="auto"/>
        <w:ind w:left="0" w:right="-24"/>
        <w:jc w:val="both"/>
        <w:rPr>
          <w:rFonts w:ascii="Titillium" w:hAnsi="Titillium" w:cs="Times New Roman"/>
        </w:rPr>
      </w:pPr>
    </w:p>
    <w:p w14:paraId="5F41C899" w14:textId="568C068C" w:rsidR="00D8550E" w:rsidRPr="00695235" w:rsidRDefault="689F106D" w:rsidP="00A212A3">
      <w:pPr>
        <w:pStyle w:val="Rientrocorpodeltesto"/>
        <w:spacing w:after="0" w:line="240" w:lineRule="auto"/>
        <w:ind w:left="0" w:right="-24"/>
        <w:jc w:val="both"/>
        <w:rPr>
          <w:rFonts w:ascii="Titillium" w:hAnsi="Titillium" w:cs="Times New Roman"/>
        </w:rPr>
      </w:pPr>
      <w:r w:rsidRPr="61DE34E3">
        <w:rPr>
          <w:rFonts w:ascii="Titillium" w:hAnsi="Titillium" w:cs="Times New Roman"/>
        </w:rPr>
        <w:t xml:space="preserve">Si allega documento di identità del sottoscrittore </w:t>
      </w:r>
      <w:r w:rsidRPr="00A212A3">
        <w:rPr>
          <w:rFonts w:ascii="Titillium" w:hAnsi="Titillium" w:cs="Times New Roman"/>
        </w:rPr>
        <w:t>e, in caso di procuratore, la procura.</w:t>
      </w:r>
    </w:p>
    <w:p w14:paraId="7BB7D079" w14:textId="77777777" w:rsidR="00F77B40" w:rsidRDefault="00F77B40" w:rsidP="00A212A3">
      <w:pPr>
        <w:pStyle w:val="Rientrocorpodeltesto"/>
        <w:spacing w:after="0" w:line="240" w:lineRule="auto"/>
        <w:ind w:left="0" w:right="-24"/>
        <w:jc w:val="both"/>
        <w:rPr>
          <w:rFonts w:ascii="Titillium" w:hAnsi="Titillium" w:cs="Times New Roman"/>
        </w:rPr>
      </w:pPr>
    </w:p>
    <w:p w14:paraId="41F36271" w14:textId="77777777" w:rsidR="00695235" w:rsidRDefault="00695235" w:rsidP="00A212A3">
      <w:pPr>
        <w:pStyle w:val="Rientrocorpodeltesto"/>
        <w:spacing w:after="0" w:line="240" w:lineRule="auto"/>
        <w:ind w:left="0" w:right="-24"/>
        <w:jc w:val="both"/>
        <w:rPr>
          <w:rFonts w:ascii="Titillium" w:hAnsi="Titillium" w:cs="Times New Roman"/>
        </w:rPr>
      </w:pPr>
    </w:p>
    <w:p w14:paraId="78811B36" w14:textId="51D3E1A1" w:rsidR="00695235" w:rsidRDefault="00695235" w:rsidP="00A212A3">
      <w:pPr>
        <w:pStyle w:val="Rientrocorpodeltesto"/>
        <w:spacing w:after="0" w:line="240" w:lineRule="auto"/>
        <w:ind w:left="7080" w:right="-24"/>
        <w:jc w:val="center"/>
        <w:rPr>
          <w:rFonts w:ascii="Titillium" w:hAnsi="Titillium" w:cs="Times New Roman"/>
        </w:rPr>
      </w:pPr>
      <w:r>
        <w:rPr>
          <w:rFonts w:ascii="Titillium" w:hAnsi="Titillium" w:cs="Times New Roman"/>
        </w:rPr>
        <w:t>L’Operatore richiedente</w:t>
      </w:r>
    </w:p>
    <w:p w14:paraId="02B51FDA" w14:textId="77777777" w:rsidR="00695235" w:rsidRDefault="00695235" w:rsidP="00A212A3">
      <w:pPr>
        <w:pStyle w:val="Rientrocorpodeltesto"/>
        <w:spacing w:after="0" w:line="240" w:lineRule="auto"/>
        <w:ind w:left="0" w:right="-24"/>
        <w:jc w:val="right"/>
        <w:rPr>
          <w:rFonts w:ascii="Titillium" w:hAnsi="Titillium" w:cs="Times New Roman"/>
        </w:rPr>
      </w:pPr>
    </w:p>
    <w:p w14:paraId="31F2BB09" w14:textId="77777777" w:rsidR="00695235" w:rsidRDefault="00695235" w:rsidP="00A212A3">
      <w:pPr>
        <w:pStyle w:val="Rientrocorpodeltesto"/>
        <w:spacing w:after="0" w:line="240" w:lineRule="auto"/>
        <w:ind w:left="0" w:right="-24"/>
        <w:jc w:val="right"/>
        <w:rPr>
          <w:rFonts w:ascii="Titillium" w:hAnsi="Titillium" w:cs="Times New Roman"/>
        </w:rPr>
      </w:pPr>
    </w:p>
    <w:p w14:paraId="00817EAA" w14:textId="3CC14993" w:rsidR="00695235" w:rsidRDefault="00695235" w:rsidP="00A212A3">
      <w:pPr>
        <w:pStyle w:val="Rientrocorpodeltesto"/>
        <w:spacing w:after="0" w:line="240" w:lineRule="auto"/>
        <w:ind w:left="0" w:right="-24"/>
        <w:jc w:val="right"/>
        <w:rPr>
          <w:rFonts w:ascii="Titillium" w:hAnsi="Titillium" w:cs="Times New Roman"/>
        </w:rPr>
      </w:pPr>
      <w:r>
        <w:rPr>
          <w:rFonts w:ascii="Titillium" w:hAnsi="Titillium" w:cs="Times New Roman"/>
        </w:rPr>
        <w:t>_____________________</w:t>
      </w:r>
    </w:p>
    <w:p w14:paraId="22A764D7" w14:textId="77777777" w:rsidR="00695235" w:rsidRDefault="00695235" w:rsidP="00A212A3">
      <w:pPr>
        <w:pStyle w:val="Rientrocorpodeltesto"/>
        <w:spacing w:after="0" w:line="240" w:lineRule="auto"/>
        <w:ind w:left="0" w:right="-24"/>
        <w:jc w:val="both"/>
        <w:rPr>
          <w:rFonts w:ascii="Titillium" w:hAnsi="Titillium" w:cs="Times New Roman"/>
        </w:rPr>
      </w:pPr>
    </w:p>
    <w:p w14:paraId="0D1C1758" w14:textId="77777777" w:rsidR="00695235" w:rsidRDefault="00695235" w:rsidP="00A212A3">
      <w:pPr>
        <w:pStyle w:val="Rientrocorpodeltesto"/>
        <w:spacing w:after="0" w:line="240" w:lineRule="auto"/>
        <w:ind w:left="0" w:right="-24"/>
        <w:jc w:val="both"/>
        <w:rPr>
          <w:rFonts w:ascii="Titillium" w:hAnsi="Titillium" w:cs="Times New Roman"/>
        </w:rPr>
      </w:pPr>
    </w:p>
    <w:p w14:paraId="7F0C2CE1" w14:textId="77777777" w:rsidR="00695235" w:rsidRDefault="00695235" w:rsidP="00A212A3">
      <w:pPr>
        <w:pStyle w:val="Rientrocorpodeltesto"/>
        <w:spacing w:after="0" w:line="240" w:lineRule="auto"/>
        <w:ind w:left="0" w:right="-24"/>
        <w:jc w:val="both"/>
        <w:rPr>
          <w:rFonts w:ascii="Titillium" w:hAnsi="Titillium" w:cs="Times New Roman"/>
        </w:rPr>
      </w:pPr>
    </w:p>
    <w:p w14:paraId="311DAF8D" w14:textId="1024DC6E" w:rsidR="00A212A3" w:rsidRDefault="498E05F6" w:rsidP="00A212A3">
      <w:pPr>
        <w:pStyle w:val="Paragrafoelenco"/>
        <w:numPr>
          <w:ilvl w:val="0"/>
          <w:numId w:val="1"/>
        </w:numPr>
        <w:spacing w:after="0" w:line="240" w:lineRule="auto"/>
        <w:ind w:left="450" w:right="-24"/>
        <w:rPr>
          <w:rFonts w:ascii="Titillium" w:hAnsi="Titillium" w:cs="Times New Roman"/>
          <w:b/>
          <w:bCs/>
          <w:i/>
          <w:iCs/>
          <w:sz w:val="22"/>
        </w:rPr>
      </w:pPr>
      <w:r w:rsidRPr="61DE34E3">
        <w:rPr>
          <w:rFonts w:ascii="Titillium" w:hAnsi="Titillium" w:cs="Times New Roman"/>
          <w:b/>
          <w:bCs/>
          <w:i/>
          <w:iCs/>
          <w:sz w:val="22"/>
        </w:rPr>
        <w:t xml:space="preserve">Modulo da trasmettere tramite la sezione “Supporto” del </w:t>
      </w:r>
      <w:r w:rsidR="000C4CC7">
        <w:rPr>
          <w:rFonts w:ascii="Titillium" w:hAnsi="Titillium" w:cs="Times New Roman"/>
          <w:b/>
          <w:bCs/>
          <w:i/>
          <w:iCs/>
          <w:sz w:val="22"/>
        </w:rPr>
        <w:t>sito</w:t>
      </w:r>
      <w:r w:rsidRPr="61DE34E3">
        <w:rPr>
          <w:rFonts w:ascii="Titillium" w:hAnsi="Titillium" w:cs="Times New Roman"/>
          <w:b/>
          <w:bCs/>
          <w:i/>
          <w:iCs/>
          <w:sz w:val="22"/>
        </w:rPr>
        <w:t xml:space="preserve"> GSE, seguendo il percorso:</w:t>
      </w:r>
    </w:p>
    <w:p w14:paraId="05267745" w14:textId="499696A2" w:rsidR="498E05F6" w:rsidRDefault="448C1425" w:rsidP="00A212A3">
      <w:pPr>
        <w:pStyle w:val="Paragrafoelenco"/>
        <w:spacing w:after="0" w:line="240" w:lineRule="auto"/>
        <w:ind w:left="450" w:right="-24"/>
        <w:rPr>
          <w:rFonts w:ascii="Titillium" w:hAnsi="Titillium" w:cs="Times New Roman"/>
          <w:b/>
          <w:bCs/>
          <w:i/>
          <w:iCs/>
          <w:sz w:val="22"/>
        </w:rPr>
      </w:pPr>
      <w:r w:rsidRPr="61DE34E3">
        <w:rPr>
          <w:rFonts w:ascii="Titillium" w:hAnsi="Titillium" w:cs="Times New Roman"/>
          <w:b/>
          <w:bCs/>
          <w:i/>
          <w:iCs/>
          <w:sz w:val="22"/>
        </w:rPr>
        <w:t xml:space="preserve"> </w:t>
      </w:r>
      <w:r w:rsidR="498E05F6" w:rsidRPr="61DE34E3">
        <w:rPr>
          <w:rFonts w:ascii="Titillium" w:hAnsi="Titillium" w:cs="Times New Roman"/>
          <w:b/>
          <w:bCs/>
          <w:i/>
          <w:iCs/>
          <w:sz w:val="22"/>
        </w:rPr>
        <w:t>Supporto &gt; Assistenza &gt; Richiedi Supporto&gt; Selezionare il servizio BIO-PMG</w:t>
      </w:r>
    </w:p>
    <w:p w14:paraId="1EC46F73" w14:textId="14C2D47F" w:rsidR="498E05F6" w:rsidRDefault="498E05F6" w:rsidP="00A212A3">
      <w:pPr>
        <w:pStyle w:val="Paragrafoelenco"/>
        <w:numPr>
          <w:ilvl w:val="0"/>
          <w:numId w:val="1"/>
        </w:numPr>
        <w:spacing w:after="0" w:line="240" w:lineRule="auto"/>
        <w:ind w:left="450" w:right="-24"/>
        <w:rPr>
          <w:rFonts w:ascii="Titillium" w:hAnsi="Titillium" w:cs="Times New Roman"/>
          <w:b/>
          <w:bCs/>
          <w:i/>
          <w:iCs/>
          <w:sz w:val="22"/>
        </w:rPr>
      </w:pPr>
      <w:r w:rsidRPr="61DE34E3">
        <w:rPr>
          <w:rFonts w:ascii="Titillium" w:hAnsi="Titillium" w:cs="Times New Roman"/>
          <w:b/>
          <w:bCs/>
          <w:i/>
          <w:iCs/>
          <w:sz w:val="22"/>
        </w:rPr>
        <w:t>Indicare nell’oggetto della richiesta la dicitura “istanza preliminare BIO-PMG”</w:t>
      </w:r>
    </w:p>
    <w:p w14:paraId="00D3E4A0" w14:textId="615D7439" w:rsidR="61DE34E3" w:rsidRDefault="61DE34E3" w:rsidP="00A212A3">
      <w:pPr>
        <w:pStyle w:val="Rientrocorpodeltesto"/>
        <w:spacing w:after="0" w:line="240" w:lineRule="auto"/>
        <w:ind w:left="0" w:right="-24"/>
        <w:jc w:val="both"/>
        <w:rPr>
          <w:rFonts w:ascii="Titillium" w:hAnsi="Titillium" w:cs="Times New Roman"/>
        </w:rPr>
      </w:pPr>
    </w:p>
    <w:p w14:paraId="7A48DD27" w14:textId="47427026" w:rsidR="61DE34E3" w:rsidRDefault="61DE34E3" w:rsidP="00A212A3">
      <w:pPr>
        <w:pStyle w:val="Rientrocorpodeltesto"/>
        <w:spacing w:after="0" w:line="240" w:lineRule="auto"/>
        <w:ind w:left="0" w:right="-24"/>
        <w:jc w:val="both"/>
        <w:rPr>
          <w:rFonts w:ascii="Titillium" w:hAnsi="Titillium" w:cs="Times New Roman"/>
        </w:rPr>
      </w:pPr>
    </w:p>
    <w:p w14:paraId="05919B19" w14:textId="575C5484" w:rsidR="61DE34E3" w:rsidRDefault="61DE34E3" w:rsidP="00A212A3">
      <w:pPr>
        <w:pStyle w:val="Rientrocorpodeltesto"/>
        <w:spacing w:after="0" w:line="240" w:lineRule="auto"/>
        <w:ind w:left="0" w:right="-24"/>
        <w:jc w:val="both"/>
        <w:rPr>
          <w:rFonts w:ascii="Titillium" w:hAnsi="Titillium" w:cs="Times New Roman"/>
        </w:rPr>
      </w:pPr>
    </w:p>
    <w:p w14:paraId="7CBF8676" w14:textId="77777777" w:rsidR="00695235" w:rsidRPr="00695235" w:rsidRDefault="00695235" w:rsidP="00A212A3">
      <w:pPr>
        <w:pStyle w:val="Rientrocorpodeltesto"/>
        <w:spacing w:after="0" w:line="240" w:lineRule="auto"/>
        <w:ind w:left="0" w:right="-24"/>
        <w:jc w:val="both"/>
        <w:rPr>
          <w:rFonts w:ascii="Titillium" w:hAnsi="Titillium" w:cs="Times New Roman"/>
        </w:rPr>
      </w:pPr>
    </w:p>
    <w:p w14:paraId="59AB34B4" w14:textId="687408A5" w:rsidR="00450553" w:rsidRPr="00695235" w:rsidRDefault="00450553" w:rsidP="00A212A3">
      <w:pPr>
        <w:pStyle w:val="Rientrocorpodeltesto"/>
        <w:spacing w:after="0" w:line="240" w:lineRule="auto"/>
        <w:ind w:left="0" w:right="-24"/>
        <w:jc w:val="both"/>
        <w:rPr>
          <w:rFonts w:ascii="Titillium" w:hAnsi="Titillium" w:cs="Times New Roman"/>
        </w:rPr>
      </w:pPr>
      <w:r w:rsidRPr="00695235">
        <w:rPr>
          <w:rFonts w:ascii="Titillium" w:hAnsi="Titillium" w:cs="Times New Roman"/>
        </w:rPr>
        <w:t xml:space="preserve">Dati Referente Comunicazioni per </w:t>
      </w:r>
      <w:r w:rsidR="00D8550E" w:rsidRPr="00695235">
        <w:rPr>
          <w:rFonts w:ascii="Titillium" w:hAnsi="Titillium" w:cs="Times New Roman"/>
        </w:rPr>
        <w:t>la presente richiesta</w:t>
      </w:r>
      <w:r w:rsidRPr="00695235">
        <w:rPr>
          <w:rFonts w:ascii="Titillium" w:hAnsi="Titillium" w:cs="Times New Roman"/>
        </w:rPr>
        <w:t xml:space="preserve"> (OBBLIGATORI):</w:t>
      </w:r>
    </w:p>
    <w:p w14:paraId="1811C34C" w14:textId="77777777" w:rsidR="00450553" w:rsidRPr="00695235" w:rsidRDefault="00450553" w:rsidP="00A212A3">
      <w:pPr>
        <w:spacing w:after="0" w:line="240" w:lineRule="auto"/>
        <w:ind w:right="-24"/>
        <w:jc w:val="both"/>
        <w:rPr>
          <w:rFonts w:ascii="Titillium" w:hAnsi="Titillium" w:cs="Times New Roman"/>
          <w:sz w:val="22"/>
        </w:rPr>
      </w:pPr>
    </w:p>
    <w:tbl>
      <w:tblPr>
        <w:tblStyle w:val="Grigliatabella"/>
        <w:tblW w:w="10531" w:type="dxa"/>
        <w:tblLook w:val="04A0" w:firstRow="1" w:lastRow="0" w:firstColumn="1" w:lastColumn="0" w:noHBand="0" w:noVBand="1"/>
      </w:tblPr>
      <w:tblGrid>
        <w:gridCol w:w="5564"/>
        <w:gridCol w:w="4967"/>
      </w:tblGrid>
      <w:tr w:rsidR="00450553" w:rsidRPr="00695235" w14:paraId="024B588D" w14:textId="77777777" w:rsidTr="009F382F">
        <w:trPr>
          <w:trHeight w:val="460"/>
        </w:trPr>
        <w:tc>
          <w:tcPr>
            <w:tcW w:w="5564" w:type="dxa"/>
          </w:tcPr>
          <w:p w14:paraId="7C7DEF48" w14:textId="77777777" w:rsidR="00450553" w:rsidRPr="00695235" w:rsidRDefault="00450553" w:rsidP="00A212A3">
            <w:pPr>
              <w:spacing w:after="0" w:line="240" w:lineRule="auto"/>
              <w:ind w:right="-24"/>
              <w:jc w:val="both"/>
              <w:rPr>
                <w:rFonts w:ascii="Titillium" w:hAnsi="Titillium"/>
                <w:sz w:val="22"/>
              </w:rPr>
            </w:pPr>
            <w:r w:rsidRPr="00695235">
              <w:rPr>
                <w:rFonts w:ascii="Titillium" w:hAnsi="Titillium"/>
                <w:sz w:val="22"/>
                <w:szCs w:val="22"/>
              </w:rPr>
              <w:t>Nome e Cognome/Società:</w:t>
            </w:r>
            <w:r w:rsidRPr="00695235">
              <w:rPr>
                <w:rFonts w:ascii="Titillium" w:hAnsi="Titillium"/>
                <w:sz w:val="22"/>
              </w:rPr>
              <w:t xml:space="preserve"> ____________________</w:t>
            </w:r>
          </w:p>
        </w:tc>
        <w:tc>
          <w:tcPr>
            <w:tcW w:w="4967" w:type="dxa"/>
          </w:tcPr>
          <w:p w14:paraId="06519199" w14:textId="77777777" w:rsidR="00450553" w:rsidRPr="00695235" w:rsidRDefault="00450553" w:rsidP="00A212A3">
            <w:pPr>
              <w:spacing w:after="0" w:line="240" w:lineRule="auto"/>
              <w:ind w:right="-24"/>
              <w:jc w:val="both"/>
              <w:rPr>
                <w:rFonts w:ascii="Titillium" w:hAnsi="Titillium"/>
                <w:sz w:val="22"/>
              </w:rPr>
            </w:pPr>
            <w:r w:rsidRPr="00695235">
              <w:rPr>
                <w:rFonts w:ascii="Titillium" w:hAnsi="Titillium"/>
                <w:sz w:val="22"/>
                <w:szCs w:val="22"/>
              </w:rPr>
              <w:t>E-mail:</w:t>
            </w:r>
            <w:r w:rsidRPr="00695235">
              <w:rPr>
                <w:rFonts w:ascii="Titillium" w:hAnsi="Titillium"/>
                <w:sz w:val="22"/>
              </w:rPr>
              <w:t xml:space="preserve"> _____________________________</w:t>
            </w:r>
          </w:p>
        </w:tc>
      </w:tr>
      <w:tr w:rsidR="00450553" w:rsidRPr="00695235" w14:paraId="0EBA6D49" w14:textId="77777777" w:rsidTr="009F382F">
        <w:trPr>
          <w:trHeight w:val="440"/>
        </w:trPr>
        <w:tc>
          <w:tcPr>
            <w:tcW w:w="5564" w:type="dxa"/>
          </w:tcPr>
          <w:p w14:paraId="1F90D505" w14:textId="4D82DC93" w:rsidR="00450553" w:rsidRPr="00695235" w:rsidRDefault="00695235" w:rsidP="00A212A3">
            <w:pPr>
              <w:spacing w:after="0" w:line="240" w:lineRule="auto"/>
              <w:ind w:right="-24"/>
              <w:jc w:val="both"/>
              <w:rPr>
                <w:rFonts w:ascii="Titillium" w:hAnsi="Titillium"/>
                <w:sz w:val="22"/>
              </w:rPr>
            </w:pPr>
            <w:proofErr w:type="spellStart"/>
            <w:r>
              <w:rPr>
                <w:rFonts w:ascii="Titillium" w:hAnsi="Titillium"/>
                <w:sz w:val="22"/>
                <w:szCs w:val="22"/>
              </w:rPr>
              <w:t>pec</w:t>
            </w:r>
            <w:proofErr w:type="spellEnd"/>
            <w:r w:rsidR="00450553" w:rsidRPr="00695235">
              <w:rPr>
                <w:rFonts w:ascii="Titillium" w:hAnsi="Titillium"/>
                <w:sz w:val="22"/>
                <w:szCs w:val="22"/>
              </w:rPr>
              <w:t>:</w:t>
            </w:r>
            <w:r w:rsidR="00450553" w:rsidRPr="00695235">
              <w:rPr>
                <w:rFonts w:ascii="Titillium" w:hAnsi="Titillium"/>
                <w:sz w:val="22"/>
              </w:rPr>
              <w:t xml:space="preserve"> _______________________________</w:t>
            </w:r>
          </w:p>
        </w:tc>
        <w:tc>
          <w:tcPr>
            <w:tcW w:w="4967" w:type="dxa"/>
          </w:tcPr>
          <w:p w14:paraId="1248D259" w14:textId="77777777" w:rsidR="00450553" w:rsidRPr="00695235" w:rsidRDefault="00450553" w:rsidP="00A212A3">
            <w:pPr>
              <w:spacing w:after="0" w:line="240" w:lineRule="auto"/>
              <w:ind w:right="-24"/>
              <w:jc w:val="both"/>
              <w:rPr>
                <w:rFonts w:ascii="Titillium" w:hAnsi="Titillium"/>
                <w:sz w:val="22"/>
              </w:rPr>
            </w:pPr>
            <w:r w:rsidRPr="00695235">
              <w:rPr>
                <w:rFonts w:ascii="Titillium" w:hAnsi="Titillium"/>
                <w:sz w:val="22"/>
                <w:szCs w:val="22"/>
              </w:rPr>
              <w:t>Cellulare:</w:t>
            </w:r>
            <w:r w:rsidRPr="00695235">
              <w:rPr>
                <w:rFonts w:ascii="Titillium" w:hAnsi="Titillium"/>
                <w:sz w:val="22"/>
              </w:rPr>
              <w:t xml:space="preserve"> ___________________________</w:t>
            </w:r>
          </w:p>
        </w:tc>
      </w:tr>
    </w:tbl>
    <w:p w14:paraId="20FF51E7" w14:textId="77777777" w:rsidR="00450553" w:rsidRPr="00695235" w:rsidRDefault="00450553" w:rsidP="00A212A3">
      <w:pPr>
        <w:spacing w:after="0" w:line="240" w:lineRule="auto"/>
        <w:ind w:right="-24"/>
        <w:jc w:val="both"/>
        <w:rPr>
          <w:rFonts w:ascii="Titillium" w:hAnsi="Titillium" w:cs="Times New Roman"/>
          <w:sz w:val="22"/>
        </w:rPr>
      </w:pPr>
    </w:p>
    <w:sectPr w:rsidR="00450553" w:rsidRPr="00695235" w:rsidSect="00FC455B">
      <w:headerReference w:type="default" r:id="rId10"/>
      <w:footerReference w:type="default" r:id="rId11"/>
      <w:pgSz w:w="11906" w:h="16838"/>
      <w:pgMar w:top="2340" w:right="720" w:bottom="1135" w:left="720" w:header="708" w:footer="1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3B1190" w14:textId="77777777" w:rsidR="00100B4F" w:rsidRDefault="00100B4F" w:rsidP="00864D39">
      <w:pPr>
        <w:spacing w:after="0" w:line="240" w:lineRule="auto"/>
      </w:pPr>
      <w:r>
        <w:separator/>
      </w:r>
    </w:p>
  </w:endnote>
  <w:endnote w:type="continuationSeparator" w:id="0">
    <w:p w14:paraId="7DBEF9DF" w14:textId="77777777" w:rsidR="00100B4F" w:rsidRDefault="00100B4F" w:rsidP="00864D39">
      <w:pPr>
        <w:spacing w:after="0" w:line="240" w:lineRule="auto"/>
      </w:pPr>
      <w:r>
        <w:continuationSeparator/>
      </w:r>
    </w:p>
  </w:endnote>
  <w:endnote w:type="continuationNotice" w:id="1">
    <w:p w14:paraId="5DBA39D0" w14:textId="77777777" w:rsidR="00100B4F" w:rsidRDefault="00100B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E6BAB9" w14:textId="3BBC3FD1" w:rsidR="00864D39" w:rsidRDefault="00864D39" w:rsidP="00D643EB">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9B8E4C" w14:textId="77777777" w:rsidR="00100B4F" w:rsidRDefault="00100B4F" w:rsidP="00864D39">
      <w:pPr>
        <w:spacing w:after="0" w:line="240" w:lineRule="auto"/>
      </w:pPr>
      <w:r>
        <w:separator/>
      </w:r>
    </w:p>
  </w:footnote>
  <w:footnote w:type="continuationSeparator" w:id="0">
    <w:p w14:paraId="4B43DEDE" w14:textId="77777777" w:rsidR="00100B4F" w:rsidRDefault="00100B4F" w:rsidP="00864D39">
      <w:pPr>
        <w:spacing w:after="0" w:line="240" w:lineRule="auto"/>
      </w:pPr>
      <w:r>
        <w:continuationSeparator/>
      </w:r>
    </w:p>
  </w:footnote>
  <w:footnote w:type="continuationNotice" w:id="1">
    <w:p w14:paraId="29D13215" w14:textId="77777777" w:rsidR="00100B4F" w:rsidRDefault="00100B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B014A" w14:textId="77777777" w:rsidR="00864D39" w:rsidRDefault="0019107E" w:rsidP="00A212A3">
    <w:pPr>
      <w:pStyle w:val="Intestazione"/>
      <w:tabs>
        <w:tab w:val="clear" w:pos="9638"/>
        <w:tab w:val="right" w:pos="10466"/>
      </w:tabs>
    </w:pPr>
    <w:r>
      <w:rPr>
        <w:noProof/>
        <w:lang w:eastAsia="it-IT"/>
      </w:rPr>
      <mc:AlternateContent>
        <mc:Choice Requires="wps">
          <w:drawing>
            <wp:anchor distT="0" distB="0" distL="114300" distR="114300" simplePos="0" relativeHeight="251658243" behindDoc="1" locked="0" layoutInCell="1" allowOverlap="1" wp14:anchorId="02EFA91F" wp14:editId="3BE08551">
              <wp:simplePos x="0" y="0"/>
              <wp:positionH relativeFrom="page">
                <wp:posOffset>2062716</wp:posOffset>
              </wp:positionH>
              <wp:positionV relativeFrom="page">
                <wp:posOffset>191386</wp:posOffset>
              </wp:positionV>
              <wp:extent cx="5029200" cy="933450"/>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226E0" w14:textId="11F04513" w:rsidR="00C65233" w:rsidRDefault="00565826" w:rsidP="004D4D76">
                          <w:pPr>
                            <w:jc w:val="right"/>
                            <w:rPr>
                              <w:rFonts w:ascii="Titillium" w:hAnsi="Titillium" w:cstheme="minorHAnsi"/>
                              <w:b/>
                              <w:color w:val="2DA22D"/>
                              <w:szCs w:val="18"/>
                            </w:rPr>
                          </w:pPr>
                          <w:r>
                            <w:rPr>
                              <w:rFonts w:ascii="Titillium" w:hAnsi="Titillium" w:cstheme="minorHAnsi"/>
                              <w:b/>
                              <w:color w:val="2DA22D"/>
                              <w:szCs w:val="18"/>
                            </w:rPr>
                            <w:t>ISTANZA PRELIMINARE</w:t>
                          </w:r>
                          <w:r w:rsidR="004D4D76">
                            <w:rPr>
                              <w:rFonts w:ascii="Titillium" w:hAnsi="Titillium" w:cstheme="minorHAnsi"/>
                              <w:b/>
                              <w:color w:val="2DA22D"/>
                              <w:szCs w:val="18"/>
                            </w:rPr>
                            <w:t xml:space="preserve"> PER L’</w:t>
                          </w:r>
                          <w:r w:rsidR="004D4D76" w:rsidRPr="004D4D76">
                            <w:rPr>
                              <w:rFonts w:ascii="Titillium" w:hAnsi="Titillium" w:cstheme="minorHAnsi"/>
                              <w:b/>
                              <w:color w:val="2DA22D"/>
                              <w:szCs w:val="18"/>
                            </w:rPr>
                            <w:t>ACCESSO ALLA REMUNERAZIONE A PREZZI MINIMI GARANTITI AI SENSI DELL’ART. 3-TER, COMMA 1, DEL DL 57/23 PER GLI IMPIANTI DI PRODUZIONE DI ENERGIA ELETTRICA ALIMENTATI DA BIOGAS E DA BIOMASSE SOLIDE – BIO PMG</w:t>
                          </w:r>
                          <w:r w:rsidR="00C65233" w:rsidRPr="00C65233">
                            <w:rPr>
                              <w:rFonts w:ascii="Titillium" w:hAnsi="Titillium" w:cstheme="minorHAnsi"/>
                              <w:b/>
                              <w:color w:val="2DA22D"/>
                              <w:szCs w:val="18"/>
                            </w:rPr>
                            <w:t xml:space="preserve"> </w:t>
                          </w:r>
                        </w:p>
                        <w:p w14:paraId="66FA0450" w14:textId="77777777" w:rsidR="00D1577F" w:rsidRPr="00D1577F" w:rsidRDefault="00D1577F" w:rsidP="009200A8">
                          <w:pPr>
                            <w:jc w:val="right"/>
                            <w:rPr>
                              <w:rFonts w:ascii="Titillium" w:hAnsi="Titillium" w:cstheme="minorHAnsi"/>
                              <w:b/>
                              <w:color w:val="2DA22D"/>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FA91F" id="_x0000_t202" coordsize="21600,21600" o:spt="202" path="m,l,21600r21600,l21600,xe">
              <v:stroke joinstyle="miter"/>
              <v:path gradientshapeok="t" o:connecttype="rect"/>
            </v:shapetype>
            <v:shape id="Casella di testo 1" o:spid="_x0000_s1026" type="#_x0000_t202" style="position:absolute;margin-left:162.4pt;margin-top:15.05pt;width:396pt;height:7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" filled="f" stroked="f">
              <v:textbox inset="0,0,0,0">
                <w:txbxContent>
                  <w:p w14:paraId="08E226E0" w14:textId="11F04513" w:rsidR="00C65233" w:rsidRDefault="00565826" w:rsidP="004D4D76">
                    <w:pPr>
                      <w:jc w:val="right"/>
                      <w:rPr>
                        <w:rFonts w:ascii="Titillium" w:hAnsi="Titillium" w:cstheme="minorHAnsi"/>
                        <w:b/>
                        <w:color w:val="2DA22D"/>
                        <w:szCs w:val="18"/>
                      </w:rPr>
                    </w:pPr>
                    <w:r>
                      <w:rPr>
                        <w:rFonts w:ascii="Titillium" w:hAnsi="Titillium" w:cstheme="minorHAnsi"/>
                        <w:b/>
                        <w:color w:val="2DA22D"/>
                        <w:szCs w:val="18"/>
                      </w:rPr>
                      <w:t>ISTANZA PRELIMINARE</w:t>
                    </w:r>
                    <w:r w:rsidR="004D4D76">
                      <w:rPr>
                        <w:rFonts w:ascii="Titillium" w:hAnsi="Titillium" w:cstheme="minorHAnsi"/>
                        <w:b/>
                        <w:color w:val="2DA22D"/>
                        <w:szCs w:val="18"/>
                      </w:rPr>
                      <w:t xml:space="preserve"> PER L’</w:t>
                    </w:r>
                    <w:r w:rsidR="004D4D76" w:rsidRPr="004D4D76">
                      <w:rPr>
                        <w:rFonts w:ascii="Titillium" w:hAnsi="Titillium" w:cstheme="minorHAnsi"/>
                        <w:b/>
                        <w:color w:val="2DA22D"/>
                        <w:szCs w:val="18"/>
                      </w:rPr>
                      <w:t>ACCESSO ALLA REMUNERAZIONE A PREZZI MINIMI GARANTITI AI SENSI DELL’ART. 3-TER, COMMA 1, DEL DL 57/23 PER GLI IMPIANTI DI PRODUZIONE DI ENERGIA ELETTRICA ALIMENTATI DA BIOGAS E DA BIOMASSE SOLIDE – BIO PMG</w:t>
                    </w:r>
                    <w:r w:rsidR="00C65233" w:rsidRPr="00C65233">
                      <w:rPr>
                        <w:rFonts w:ascii="Titillium" w:hAnsi="Titillium" w:cstheme="minorHAnsi"/>
                        <w:b/>
                        <w:color w:val="2DA22D"/>
                        <w:szCs w:val="18"/>
                      </w:rPr>
                      <w:t xml:space="preserve"> </w:t>
                    </w:r>
                  </w:p>
                  <w:p w14:paraId="66FA0450" w14:textId="77777777" w:rsidR="00D1577F" w:rsidRPr="00D1577F" w:rsidRDefault="00D1577F" w:rsidP="009200A8">
                    <w:pPr>
                      <w:jc w:val="right"/>
                      <w:rPr>
                        <w:rFonts w:ascii="Titillium" w:hAnsi="Titillium" w:cstheme="minorHAnsi"/>
                        <w:b/>
                        <w:color w:val="2DA22D"/>
                        <w:sz w:val="18"/>
                        <w:szCs w:val="18"/>
                      </w:rPr>
                    </w:pPr>
                  </w:p>
                </w:txbxContent>
              </v:textbox>
              <w10:wrap anchorx="page" anchory="page"/>
            </v:shape>
          </w:pict>
        </mc:Fallback>
      </mc:AlternateContent>
    </w:r>
    <w:r w:rsidR="00FC455B">
      <w:rPr>
        <w:noProof/>
        <w:lang w:eastAsia="it-IT"/>
      </w:rPr>
      <w:drawing>
        <wp:anchor distT="0" distB="0" distL="114300" distR="114300" simplePos="0" relativeHeight="251658240" behindDoc="1" locked="0" layoutInCell="1" allowOverlap="1" wp14:anchorId="5AB8A1B6" wp14:editId="7820A771">
          <wp:simplePos x="0" y="0"/>
          <wp:positionH relativeFrom="page">
            <wp:posOffset>155575</wp:posOffset>
          </wp:positionH>
          <wp:positionV relativeFrom="page">
            <wp:posOffset>186690</wp:posOffset>
          </wp:positionV>
          <wp:extent cx="1444625" cy="661035"/>
          <wp:effectExtent l="0" t="0" r="3175" b="5715"/>
          <wp:wrapNone/>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6610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13C67"/>
    <w:multiLevelType w:val="hybridMultilevel"/>
    <w:tmpl w:val="D8D29A7A"/>
    <w:lvl w:ilvl="0" w:tplc="BDAAD09C">
      <w:start w:val="1"/>
      <w:numFmt w:val="bullet"/>
      <w:lvlText w:val=""/>
      <w:lvlJc w:val="left"/>
      <w:pPr>
        <w:ind w:left="720" w:hanging="360"/>
      </w:pPr>
      <w:rPr>
        <w:rFonts w:ascii="Symbol" w:hAnsi="Symbol" w:hint="default"/>
      </w:rPr>
    </w:lvl>
    <w:lvl w:ilvl="1" w:tplc="AD46D206">
      <w:start w:val="1"/>
      <w:numFmt w:val="bullet"/>
      <w:lvlText w:val="o"/>
      <w:lvlJc w:val="left"/>
      <w:pPr>
        <w:ind w:left="1440" w:hanging="360"/>
      </w:pPr>
      <w:rPr>
        <w:rFonts w:ascii="Courier New" w:hAnsi="Courier New" w:hint="default"/>
      </w:rPr>
    </w:lvl>
    <w:lvl w:ilvl="2" w:tplc="F17268A8">
      <w:start w:val="1"/>
      <w:numFmt w:val="bullet"/>
      <w:lvlText w:val=""/>
      <w:lvlJc w:val="left"/>
      <w:pPr>
        <w:ind w:left="2160" w:hanging="360"/>
      </w:pPr>
      <w:rPr>
        <w:rFonts w:ascii="Wingdings" w:hAnsi="Wingdings" w:hint="default"/>
      </w:rPr>
    </w:lvl>
    <w:lvl w:ilvl="3" w:tplc="4EDCD624">
      <w:start w:val="1"/>
      <w:numFmt w:val="bullet"/>
      <w:lvlText w:val=""/>
      <w:lvlJc w:val="left"/>
      <w:pPr>
        <w:ind w:left="2880" w:hanging="360"/>
      </w:pPr>
      <w:rPr>
        <w:rFonts w:ascii="Symbol" w:hAnsi="Symbol" w:hint="default"/>
      </w:rPr>
    </w:lvl>
    <w:lvl w:ilvl="4" w:tplc="E26A8FBA">
      <w:start w:val="1"/>
      <w:numFmt w:val="bullet"/>
      <w:lvlText w:val="o"/>
      <w:lvlJc w:val="left"/>
      <w:pPr>
        <w:ind w:left="3600" w:hanging="360"/>
      </w:pPr>
      <w:rPr>
        <w:rFonts w:ascii="Courier New" w:hAnsi="Courier New" w:hint="default"/>
      </w:rPr>
    </w:lvl>
    <w:lvl w:ilvl="5" w:tplc="76BA5380">
      <w:start w:val="1"/>
      <w:numFmt w:val="bullet"/>
      <w:lvlText w:val=""/>
      <w:lvlJc w:val="left"/>
      <w:pPr>
        <w:ind w:left="4320" w:hanging="360"/>
      </w:pPr>
      <w:rPr>
        <w:rFonts w:ascii="Wingdings" w:hAnsi="Wingdings" w:hint="default"/>
      </w:rPr>
    </w:lvl>
    <w:lvl w:ilvl="6" w:tplc="E0D6F576">
      <w:start w:val="1"/>
      <w:numFmt w:val="bullet"/>
      <w:lvlText w:val=""/>
      <w:lvlJc w:val="left"/>
      <w:pPr>
        <w:ind w:left="5040" w:hanging="360"/>
      </w:pPr>
      <w:rPr>
        <w:rFonts w:ascii="Symbol" w:hAnsi="Symbol" w:hint="default"/>
      </w:rPr>
    </w:lvl>
    <w:lvl w:ilvl="7" w:tplc="6CD2329C">
      <w:start w:val="1"/>
      <w:numFmt w:val="bullet"/>
      <w:lvlText w:val="o"/>
      <w:lvlJc w:val="left"/>
      <w:pPr>
        <w:ind w:left="5760" w:hanging="360"/>
      </w:pPr>
      <w:rPr>
        <w:rFonts w:ascii="Courier New" w:hAnsi="Courier New" w:hint="default"/>
      </w:rPr>
    </w:lvl>
    <w:lvl w:ilvl="8" w:tplc="ED86B0E8">
      <w:start w:val="1"/>
      <w:numFmt w:val="bullet"/>
      <w:lvlText w:val=""/>
      <w:lvlJc w:val="left"/>
      <w:pPr>
        <w:ind w:left="6480" w:hanging="360"/>
      </w:pPr>
      <w:rPr>
        <w:rFonts w:ascii="Wingdings" w:hAnsi="Wingdings" w:hint="default"/>
      </w:rPr>
    </w:lvl>
  </w:abstractNum>
  <w:abstractNum w:abstractNumId="1" w15:restartNumberingAfterBreak="0">
    <w:nsid w:val="087053FA"/>
    <w:multiLevelType w:val="hybridMultilevel"/>
    <w:tmpl w:val="16C8669A"/>
    <w:lvl w:ilvl="0" w:tplc="04100011">
      <w:start w:val="1"/>
      <w:numFmt w:val="decimal"/>
      <w:lvlText w:val="%1)"/>
      <w:lvlJc w:val="left"/>
      <w:pPr>
        <w:tabs>
          <w:tab w:val="num" w:pos="720"/>
        </w:tabs>
        <w:ind w:left="720" w:hanging="360"/>
      </w:pPr>
    </w:lvl>
    <w:lvl w:ilvl="1" w:tplc="BCD0FCC6">
      <w:start w:val="3"/>
      <w:numFmt w:val="bullet"/>
      <w:lvlText w:val="-"/>
      <w:lvlJc w:val="left"/>
      <w:pPr>
        <w:ind w:left="1440" w:hanging="360"/>
      </w:pPr>
      <w:rPr>
        <w:rFonts w:ascii="Times New Roman" w:eastAsia="Calibri" w:hAnsi="Times New Roman" w:cs="Times New Roman"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C932236"/>
    <w:multiLevelType w:val="hybridMultilevel"/>
    <w:tmpl w:val="89AAA84E"/>
    <w:lvl w:ilvl="0" w:tplc="CFE4FDD0">
      <w:start w:val="197"/>
      <w:numFmt w:val="bullet"/>
      <w:lvlText w:val="-"/>
      <w:lvlJc w:val="left"/>
      <w:pPr>
        <w:ind w:left="1165" w:hanging="360"/>
      </w:pPr>
      <w:rPr>
        <w:rFonts w:ascii="Times New Roman" w:eastAsia="Times New Roman" w:hAnsi="Times New Roman" w:cs="Times New Roman" w:hint="default"/>
      </w:rPr>
    </w:lvl>
    <w:lvl w:ilvl="1" w:tplc="04100003" w:tentative="1">
      <w:start w:val="1"/>
      <w:numFmt w:val="bullet"/>
      <w:lvlText w:val="o"/>
      <w:lvlJc w:val="left"/>
      <w:pPr>
        <w:ind w:left="1885" w:hanging="360"/>
      </w:pPr>
      <w:rPr>
        <w:rFonts w:ascii="Courier New" w:hAnsi="Courier New" w:cs="Courier New" w:hint="default"/>
      </w:rPr>
    </w:lvl>
    <w:lvl w:ilvl="2" w:tplc="04100005" w:tentative="1">
      <w:start w:val="1"/>
      <w:numFmt w:val="bullet"/>
      <w:lvlText w:val=""/>
      <w:lvlJc w:val="left"/>
      <w:pPr>
        <w:ind w:left="2605" w:hanging="360"/>
      </w:pPr>
      <w:rPr>
        <w:rFonts w:ascii="Wingdings" w:hAnsi="Wingdings" w:hint="default"/>
      </w:rPr>
    </w:lvl>
    <w:lvl w:ilvl="3" w:tplc="04100001" w:tentative="1">
      <w:start w:val="1"/>
      <w:numFmt w:val="bullet"/>
      <w:lvlText w:val=""/>
      <w:lvlJc w:val="left"/>
      <w:pPr>
        <w:ind w:left="3325" w:hanging="360"/>
      </w:pPr>
      <w:rPr>
        <w:rFonts w:ascii="Symbol" w:hAnsi="Symbol" w:hint="default"/>
      </w:rPr>
    </w:lvl>
    <w:lvl w:ilvl="4" w:tplc="04100003" w:tentative="1">
      <w:start w:val="1"/>
      <w:numFmt w:val="bullet"/>
      <w:lvlText w:val="o"/>
      <w:lvlJc w:val="left"/>
      <w:pPr>
        <w:ind w:left="4045" w:hanging="360"/>
      </w:pPr>
      <w:rPr>
        <w:rFonts w:ascii="Courier New" w:hAnsi="Courier New" w:cs="Courier New" w:hint="default"/>
      </w:rPr>
    </w:lvl>
    <w:lvl w:ilvl="5" w:tplc="04100005" w:tentative="1">
      <w:start w:val="1"/>
      <w:numFmt w:val="bullet"/>
      <w:lvlText w:val=""/>
      <w:lvlJc w:val="left"/>
      <w:pPr>
        <w:ind w:left="4765" w:hanging="360"/>
      </w:pPr>
      <w:rPr>
        <w:rFonts w:ascii="Wingdings" w:hAnsi="Wingdings" w:hint="default"/>
      </w:rPr>
    </w:lvl>
    <w:lvl w:ilvl="6" w:tplc="04100001" w:tentative="1">
      <w:start w:val="1"/>
      <w:numFmt w:val="bullet"/>
      <w:lvlText w:val=""/>
      <w:lvlJc w:val="left"/>
      <w:pPr>
        <w:ind w:left="5485" w:hanging="360"/>
      </w:pPr>
      <w:rPr>
        <w:rFonts w:ascii="Symbol" w:hAnsi="Symbol" w:hint="default"/>
      </w:rPr>
    </w:lvl>
    <w:lvl w:ilvl="7" w:tplc="04100003" w:tentative="1">
      <w:start w:val="1"/>
      <w:numFmt w:val="bullet"/>
      <w:lvlText w:val="o"/>
      <w:lvlJc w:val="left"/>
      <w:pPr>
        <w:ind w:left="6205" w:hanging="360"/>
      </w:pPr>
      <w:rPr>
        <w:rFonts w:ascii="Courier New" w:hAnsi="Courier New" w:cs="Courier New" w:hint="default"/>
      </w:rPr>
    </w:lvl>
    <w:lvl w:ilvl="8" w:tplc="04100005" w:tentative="1">
      <w:start w:val="1"/>
      <w:numFmt w:val="bullet"/>
      <w:lvlText w:val=""/>
      <w:lvlJc w:val="left"/>
      <w:pPr>
        <w:ind w:left="6925" w:hanging="360"/>
      </w:pPr>
      <w:rPr>
        <w:rFonts w:ascii="Wingdings" w:hAnsi="Wingdings" w:hint="default"/>
      </w:rPr>
    </w:lvl>
  </w:abstractNum>
  <w:abstractNum w:abstractNumId="3" w15:restartNumberingAfterBreak="0">
    <w:nsid w:val="0D5238F2"/>
    <w:multiLevelType w:val="hybridMultilevel"/>
    <w:tmpl w:val="C1E294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0A565C"/>
    <w:multiLevelType w:val="hybridMultilevel"/>
    <w:tmpl w:val="2FAC55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E76F06"/>
    <w:multiLevelType w:val="hybridMultilevel"/>
    <w:tmpl w:val="F60A673E"/>
    <w:lvl w:ilvl="0" w:tplc="32A42B66">
      <w:start w:val="1"/>
      <w:numFmt w:val="bullet"/>
      <w:lvlText w:val=""/>
      <w:lvlJc w:val="left"/>
      <w:pPr>
        <w:ind w:left="1287" w:hanging="360"/>
      </w:pPr>
      <w:rPr>
        <w:rFonts w:ascii="Wingdings" w:hAnsi="Wingdings" w:hint="default"/>
        <w:sz w:val="24"/>
        <w:szCs w:val="24"/>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24CE37B7"/>
    <w:multiLevelType w:val="hybridMultilevel"/>
    <w:tmpl w:val="6B9843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4024B0"/>
    <w:multiLevelType w:val="hybridMultilevel"/>
    <w:tmpl w:val="678CEAFE"/>
    <w:lvl w:ilvl="0" w:tplc="C2BEAAE2">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3A37D4"/>
    <w:multiLevelType w:val="hybridMultilevel"/>
    <w:tmpl w:val="797ADD56"/>
    <w:lvl w:ilvl="0" w:tplc="CB341AF0">
      <w:start w:val="1"/>
      <w:numFmt w:val="bullet"/>
      <w:lvlText w:val=""/>
      <w:lvlJc w:val="left"/>
      <w:pPr>
        <w:ind w:left="1083" w:hanging="360"/>
      </w:pPr>
      <w:rPr>
        <w:rFonts w:ascii="Wingdings" w:hAnsi="Wingdings" w:hint="default"/>
        <w:sz w:val="24"/>
        <w:szCs w:val="24"/>
      </w:rPr>
    </w:lvl>
    <w:lvl w:ilvl="1" w:tplc="04100003">
      <w:start w:val="1"/>
      <w:numFmt w:val="bullet"/>
      <w:lvlText w:val="o"/>
      <w:lvlJc w:val="left"/>
      <w:pPr>
        <w:ind w:left="1803" w:hanging="360"/>
      </w:pPr>
      <w:rPr>
        <w:rFonts w:ascii="Courier New" w:hAnsi="Courier New" w:cs="Courier New" w:hint="default"/>
      </w:rPr>
    </w:lvl>
    <w:lvl w:ilvl="2" w:tplc="04100005" w:tentative="1">
      <w:start w:val="1"/>
      <w:numFmt w:val="bullet"/>
      <w:lvlText w:val=""/>
      <w:lvlJc w:val="left"/>
      <w:pPr>
        <w:ind w:left="2523" w:hanging="360"/>
      </w:pPr>
      <w:rPr>
        <w:rFonts w:ascii="Wingdings" w:hAnsi="Wingdings" w:hint="default"/>
      </w:rPr>
    </w:lvl>
    <w:lvl w:ilvl="3" w:tplc="04100001" w:tentative="1">
      <w:start w:val="1"/>
      <w:numFmt w:val="bullet"/>
      <w:lvlText w:val=""/>
      <w:lvlJc w:val="left"/>
      <w:pPr>
        <w:ind w:left="3243" w:hanging="360"/>
      </w:pPr>
      <w:rPr>
        <w:rFonts w:ascii="Symbol" w:hAnsi="Symbol" w:hint="default"/>
      </w:rPr>
    </w:lvl>
    <w:lvl w:ilvl="4" w:tplc="04100003" w:tentative="1">
      <w:start w:val="1"/>
      <w:numFmt w:val="bullet"/>
      <w:lvlText w:val="o"/>
      <w:lvlJc w:val="left"/>
      <w:pPr>
        <w:ind w:left="3963" w:hanging="360"/>
      </w:pPr>
      <w:rPr>
        <w:rFonts w:ascii="Courier New" w:hAnsi="Courier New" w:cs="Courier New" w:hint="default"/>
      </w:rPr>
    </w:lvl>
    <w:lvl w:ilvl="5" w:tplc="04100005" w:tentative="1">
      <w:start w:val="1"/>
      <w:numFmt w:val="bullet"/>
      <w:lvlText w:val=""/>
      <w:lvlJc w:val="left"/>
      <w:pPr>
        <w:ind w:left="4683" w:hanging="360"/>
      </w:pPr>
      <w:rPr>
        <w:rFonts w:ascii="Wingdings" w:hAnsi="Wingdings" w:hint="default"/>
      </w:rPr>
    </w:lvl>
    <w:lvl w:ilvl="6" w:tplc="04100001" w:tentative="1">
      <w:start w:val="1"/>
      <w:numFmt w:val="bullet"/>
      <w:lvlText w:val=""/>
      <w:lvlJc w:val="left"/>
      <w:pPr>
        <w:ind w:left="5403" w:hanging="360"/>
      </w:pPr>
      <w:rPr>
        <w:rFonts w:ascii="Symbol" w:hAnsi="Symbol" w:hint="default"/>
      </w:rPr>
    </w:lvl>
    <w:lvl w:ilvl="7" w:tplc="04100003" w:tentative="1">
      <w:start w:val="1"/>
      <w:numFmt w:val="bullet"/>
      <w:lvlText w:val="o"/>
      <w:lvlJc w:val="left"/>
      <w:pPr>
        <w:ind w:left="6123" w:hanging="360"/>
      </w:pPr>
      <w:rPr>
        <w:rFonts w:ascii="Courier New" w:hAnsi="Courier New" w:cs="Courier New" w:hint="default"/>
      </w:rPr>
    </w:lvl>
    <w:lvl w:ilvl="8" w:tplc="04100005" w:tentative="1">
      <w:start w:val="1"/>
      <w:numFmt w:val="bullet"/>
      <w:lvlText w:val=""/>
      <w:lvlJc w:val="left"/>
      <w:pPr>
        <w:ind w:left="6843" w:hanging="360"/>
      </w:pPr>
      <w:rPr>
        <w:rFonts w:ascii="Wingdings" w:hAnsi="Wingdings" w:hint="default"/>
      </w:rPr>
    </w:lvl>
  </w:abstractNum>
  <w:abstractNum w:abstractNumId="9" w15:restartNumberingAfterBreak="0">
    <w:nsid w:val="36CB3A48"/>
    <w:multiLevelType w:val="hybridMultilevel"/>
    <w:tmpl w:val="2106360E"/>
    <w:lvl w:ilvl="0" w:tplc="04100005">
      <w:start w:val="1"/>
      <w:numFmt w:val="bullet"/>
      <w:lvlText w:val=""/>
      <w:lvlJc w:val="left"/>
      <w:pPr>
        <w:ind w:left="1146" w:hanging="720"/>
      </w:pPr>
      <w:rPr>
        <w:rFonts w:ascii="Wingdings" w:hAnsi="Wingding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42E21AEB"/>
    <w:multiLevelType w:val="hybridMultilevel"/>
    <w:tmpl w:val="009EEA58"/>
    <w:lvl w:ilvl="0" w:tplc="CFE4FDD0">
      <w:start w:val="197"/>
      <w:numFmt w:val="bullet"/>
      <w:lvlText w:val="-"/>
      <w:lvlJc w:val="left"/>
      <w:pPr>
        <w:ind w:left="1165" w:hanging="360"/>
      </w:pPr>
      <w:rPr>
        <w:rFonts w:ascii="Times New Roman" w:eastAsia="Times New Roman" w:hAnsi="Times New Roman" w:cs="Times New Roman" w:hint="default"/>
      </w:rPr>
    </w:lvl>
    <w:lvl w:ilvl="1" w:tplc="04100003">
      <w:start w:val="1"/>
      <w:numFmt w:val="bullet"/>
      <w:lvlText w:val="o"/>
      <w:lvlJc w:val="left"/>
      <w:pPr>
        <w:ind w:left="1885" w:hanging="360"/>
      </w:pPr>
      <w:rPr>
        <w:rFonts w:ascii="Courier New" w:hAnsi="Courier New" w:cs="Courier New" w:hint="default"/>
      </w:rPr>
    </w:lvl>
    <w:lvl w:ilvl="2" w:tplc="04100005" w:tentative="1">
      <w:start w:val="1"/>
      <w:numFmt w:val="bullet"/>
      <w:lvlText w:val=""/>
      <w:lvlJc w:val="left"/>
      <w:pPr>
        <w:ind w:left="2605" w:hanging="360"/>
      </w:pPr>
      <w:rPr>
        <w:rFonts w:ascii="Wingdings" w:hAnsi="Wingdings" w:hint="default"/>
      </w:rPr>
    </w:lvl>
    <w:lvl w:ilvl="3" w:tplc="04100001" w:tentative="1">
      <w:start w:val="1"/>
      <w:numFmt w:val="bullet"/>
      <w:lvlText w:val=""/>
      <w:lvlJc w:val="left"/>
      <w:pPr>
        <w:ind w:left="3325" w:hanging="360"/>
      </w:pPr>
      <w:rPr>
        <w:rFonts w:ascii="Symbol" w:hAnsi="Symbol" w:hint="default"/>
      </w:rPr>
    </w:lvl>
    <w:lvl w:ilvl="4" w:tplc="04100003" w:tentative="1">
      <w:start w:val="1"/>
      <w:numFmt w:val="bullet"/>
      <w:lvlText w:val="o"/>
      <w:lvlJc w:val="left"/>
      <w:pPr>
        <w:ind w:left="4045" w:hanging="360"/>
      </w:pPr>
      <w:rPr>
        <w:rFonts w:ascii="Courier New" w:hAnsi="Courier New" w:cs="Courier New" w:hint="default"/>
      </w:rPr>
    </w:lvl>
    <w:lvl w:ilvl="5" w:tplc="04100005" w:tentative="1">
      <w:start w:val="1"/>
      <w:numFmt w:val="bullet"/>
      <w:lvlText w:val=""/>
      <w:lvlJc w:val="left"/>
      <w:pPr>
        <w:ind w:left="4765" w:hanging="360"/>
      </w:pPr>
      <w:rPr>
        <w:rFonts w:ascii="Wingdings" w:hAnsi="Wingdings" w:hint="default"/>
      </w:rPr>
    </w:lvl>
    <w:lvl w:ilvl="6" w:tplc="04100001" w:tentative="1">
      <w:start w:val="1"/>
      <w:numFmt w:val="bullet"/>
      <w:lvlText w:val=""/>
      <w:lvlJc w:val="left"/>
      <w:pPr>
        <w:ind w:left="5485" w:hanging="360"/>
      </w:pPr>
      <w:rPr>
        <w:rFonts w:ascii="Symbol" w:hAnsi="Symbol" w:hint="default"/>
      </w:rPr>
    </w:lvl>
    <w:lvl w:ilvl="7" w:tplc="04100003" w:tentative="1">
      <w:start w:val="1"/>
      <w:numFmt w:val="bullet"/>
      <w:lvlText w:val="o"/>
      <w:lvlJc w:val="left"/>
      <w:pPr>
        <w:ind w:left="6205" w:hanging="360"/>
      </w:pPr>
      <w:rPr>
        <w:rFonts w:ascii="Courier New" w:hAnsi="Courier New" w:cs="Courier New" w:hint="default"/>
      </w:rPr>
    </w:lvl>
    <w:lvl w:ilvl="8" w:tplc="04100005" w:tentative="1">
      <w:start w:val="1"/>
      <w:numFmt w:val="bullet"/>
      <w:lvlText w:val=""/>
      <w:lvlJc w:val="left"/>
      <w:pPr>
        <w:ind w:left="6925" w:hanging="360"/>
      </w:pPr>
      <w:rPr>
        <w:rFonts w:ascii="Wingdings" w:hAnsi="Wingdings" w:hint="default"/>
      </w:rPr>
    </w:lvl>
  </w:abstractNum>
  <w:abstractNum w:abstractNumId="11" w15:restartNumberingAfterBreak="0">
    <w:nsid w:val="50CC68C5"/>
    <w:multiLevelType w:val="hybridMultilevel"/>
    <w:tmpl w:val="5100FA02"/>
    <w:lvl w:ilvl="0" w:tplc="D0D04FC8">
      <w:start w:val="1"/>
      <w:numFmt w:val="bullet"/>
      <w:lvlText w:val=""/>
      <w:lvlJc w:val="left"/>
      <w:pPr>
        <w:ind w:left="2115" w:hanging="360"/>
      </w:pPr>
      <w:rPr>
        <w:rFonts w:ascii="Wingdings" w:hAnsi="Wingdings" w:hint="default"/>
        <w:sz w:val="24"/>
        <w:szCs w:val="24"/>
      </w:rPr>
    </w:lvl>
    <w:lvl w:ilvl="1" w:tplc="04100003" w:tentative="1">
      <w:start w:val="1"/>
      <w:numFmt w:val="bullet"/>
      <w:lvlText w:val="o"/>
      <w:lvlJc w:val="left"/>
      <w:pPr>
        <w:ind w:left="2835" w:hanging="360"/>
      </w:pPr>
      <w:rPr>
        <w:rFonts w:ascii="Courier New" w:hAnsi="Courier New" w:cs="Courier New" w:hint="default"/>
      </w:rPr>
    </w:lvl>
    <w:lvl w:ilvl="2" w:tplc="04100005" w:tentative="1">
      <w:start w:val="1"/>
      <w:numFmt w:val="bullet"/>
      <w:lvlText w:val=""/>
      <w:lvlJc w:val="left"/>
      <w:pPr>
        <w:ind w:left="3555" w:hanging="360"/>
      </w:pPr>
      <w:rPr>
        <w:rFonts w:ascii="Wingdings" w:hAnsi="Wingdings" w:hint="default"/>
      </w:rPr>
    </w:lvl>
    <w:lvl w:ilvl="3" w:tplc="04100001" w:tentative="1">
      <w:start w:val="1"/>
      <w:numFmt w:val="bullet"/>
      <w:lvlText w:val=""/>
      <w:lvlJc w:val="left"/>
      <w:pPr>
        <w:ind w:left="4275" w:hanging="360"/>
      </w:pPr>
      <w:rPr>
        <w:rFonts w:ascii="Symbol" w:hAnsi="Symbol" w:hint="default"/>
      </w:rPr>
    </w:lvl>
    <w:lvl w:ilvl="4" w:tplc="04100003" w:tentative="1">
      <w:start w:val="1"/>
      <w:numFmt w:val="bullet"/>
      <w:lvlText w:val="o"/>
      <w:lvlJc w:val="left"/>
      <w:pPr>
        <w:ind w:left="4995" w:hanging="360"/>
      </w:pPr>
      <w:rPr>
        <w:rFonts w:ascii="Courier New" w:hAnsi="Courier New" w:cs="Courier New" w:hint="default"/>
      </w:rPr>
    </w:lvl>
    <w:lvl w:ilvl="5" w:tplc="04100005" w:tentative="1">
      <w:start w:val="1"/>
      <w:numFmt w:val="bullet"/>
      <w:lvlText w:val=""/>
      <w:lvlJc w:val="left"/>
      <w:pPr>
        <w:ind w:left="5715" w:hanging="360"/>
      </w:pPr>
      <w:rPr>
        <w:rFonts w:ascii="Wingdings" w:hAnsi="Wingdings" w:hint="default"/>
      </w:rPr>
    </w:lvl>
    <w:lvl w:ilvl="6" w:tplc="04100001" w:tentative="1">
      <w:start w:val="1"/>
      <w:numFmt w:val="bullet"/>
      <w:lvlText w:val=""/>
      <w:lvlJc w:val="left"/>
      <w:pPr>
        <w:ind w:left="6435" w:hanging="360"/>
      </w:pPr>
      <w:rPr>
        <w:rFonts w:ascii="Symbol" w:hAnsi="Symbol" w:hint="default"/>
      </w:rPr>
    </w:lvl>
    <w:lvl w:ilvl="7" w:tplc="04100003" w:tentative="1">
      <w:start w:val="1"/>
      <w:numFmt w:val="bullet"/>
      <w:lvlText w:val="o"/>
      <w:lvlJc w:val="left"/>
      <w:pPr>
        <w:ind w:left="7155" w:hanging="360"/>
      </w:pPr>
      <w:rPr>
        <w:rFonts w:ascii="Courier New" w:hAnsi="Courier New" w:cs="Courier New" w:hint="default"/>
      </w:rPr>
    </w:lvl>
    <w:lvl w:ilvl="8" w:tplc="04100005" w:tentative="1">
      <w:start w:val="1"/>
      <w:numFmt w:val="bullet"/>
      <w:lvlText w:val=""/>
      <w:lvlJc w:val="left"/>
      <w:pPr>
        <w:ind w:left="7875" w:hanging="360"/>
      </w:pPr>
      <w:rPr>
        <w:rFonts w:ascii="Wingdings" w:hAnsi="Wingdings" w:hint="default"/>
      </w:rPr>
    </w:lvl>
  </w:abstractNum>
  <w:abstractNum w:abstractNumId="12" w15:restartNumberingAfterBreak="0">
    <w:nsid w:val="51805C5D"/>
    <w:multiLevelType w:val="hybridMultilevel"/>
    <w:tmpl w:val="A962C3C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5013EB3"/>
    <w:multiLevelType w:val="hybridMultilevel"/>
    <w:tmpl w:val="28E2DD62"/>
    <w:lvl w:ilvl="0" w:tplc="CFE4FDD0">
      <w:start w:val="197"/>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9100229"/>
    <w:multiLevelType w:val="hybridMultilevel"/>
    <w:tmpl w:val="3198E252"/>
    <w:lvl w:ilvl="0" w:tplc="CFE4FDD0">
      <w:start w:val="19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F6918F6"/>
    <w:multiLevelType w:val="hybridMultilevel"/>
    <w:tmpl w:val="AE160B20"/>
    <w:lvl w:ilvl="0" w:tplc="7DE4F648">
      <w:start w:val="17"/>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A042C5"/>
    <w:multiLevelType w:val="hybridMultilevel"/>
    <w:tmpl w:val="03CAB0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72737E3B"/>
    <w:multiLevelType w:val="hybridMultilevel"/>
    <w:tmpl w:val="F6A48C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DFD15C9"/>
    <w:multiLevelType w:val="hybridMultilevel"/>
    <w:tmpl w:val="0B62EDD8"/>
    <w:lvl w:ilvl="0" w:tplc="79D45014">
      <w:start w:val="1"/>
      <w:numFmt w:val="bullet"/>
      <w:lvlText w:val="₋"/>
      <w:lvlJc w:val="left"/>
      <w:pPr>
        <w:ind w:left="1788" w:hanging="360"/>
      </w:pPr>
      <w:rPr>
        <w:rFonts w:ascii="Calibri" w:hAnsi="Calibri"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19" w15:restartNumberingAfterBreak="0">
    <w:nsid w:val="7F0A09FB"/>
    <w:multiLevelType w:val="hybridMultilevel"/>
    <w:tmpl w:val="3528CBDA"/>
    <w:lvl w:ilvl="0" w:tplc="81DA0B94">
      <w:start w:val="1"/>
      <w:numFmt w:val="bullet"/>
      <w:lvlText w:val=""/>
      <w:lvlJc w:val="left"/>
      <w:pPr>
        <w:ind w:left="907" w:hanging="453"/>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769207214">
    <w:abstractNumId w:val="0"/>
  </w:num>
  <w:num w:numId="2" w16cid:durableId="1124035571">
    <w:abstractNumId w:val="10"/>
  </w:num>
  <w:num w:numId="3" w16cid:durableId="105582849">
    <w:abstractNumId w:val="17"/>
  </w:num>
  <w:num w:numId="4" w16cid:durableId="1776289157">
    <w:abstractNumId w:val="5"/>
  </w:num>
  <w:num w:numId="5" w16cid:durableId="371855323">
    <w:abstractNumId w:val="11"/>
  </w:num>
  <w:num w:numId="6" w16cid:durableId="2092893612">
    <w:abstractNumId w:val="13"/>
  </w:num>
  <w:num w:numId="7" w16cid:durableId="184712966">
    <w:abstractNumId w:val="9"/>
  </w:num>
  <w:num w:numId="8" w16cid:durableId="1791389744">
    <w:abstractNumId w:val="3"/>
  </w:num>
  <w:num w:numId="9" w16cid:durableId="1384409285">
    <w:abstractNumId w:val="19"/>
  </w:num>
  <w:num w:numId="10" w16cid:durableId="885023665">
    <w:abstractNumId w:val="15"/>
  </w:num>
  <w:num w:numId="11" w16cid:durableId="162865591">
    <w:abstractNumId w:val="8"/>
  </w:num>
  <w:num w:numId="12" w16cid:durableId="1770394855">
    <w:abstractNumId w:val="18"/>
  </w:num>
  <w:num w:numId="13" w16cid:durableId="1483737400">
    <w:abstractNumId w:val="12"/>
  </w:num>
  <w:num w:numId="14" w16cid:durableId="1951350568">
    <w:abstractNumId w:val="14"/>
  </w:num>
  <w:num w:numId="15" w16cid:durableId="189606842">
    <w:abstractNumId w:val="2"/>
  </w:num>
  <w:num w:numId="16" w16cid:durableId="648628598">
    <w:abstractNumId w:val="7"/>
  </w:num>
  <w:num w:numId="17" w16cid:durableId="1480656978">
    <w:abstractNumId w:val="6"/>
  </w:num>
  <w:num w:numId="18" w16cid:durableId="126330239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49965864">
    <w:abstractNumId w:val="1"/>
  </w:num>
  <w:num w:numId="20" w16cid:durableId="257955357">
    <w:abstractNumId w:val="4"/>
  </w:num>
  <w:num w:numId="21" w16cid:durableId="19848430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D39"/>
    <w:rsid w:val="00027E99"/>
    <w:rsid w:val="00051BD7"/>
    <w:rsid w:val="00083EE7"/>
    <w:rsid w:val="000A1728"/>
    <w:rsid w:val="000C4CC7"/>
    <w:rsid w:val="00100B4F"/>
    <w:rsid w:val="00113433"/>
    <w:rsid w:val="00176910"/>
    <w:rsid w:val="001846B2"/>
    <w:rsid w:val="0019107E"/>
    <w:rsid w:val="001E207B"/>
    <w:rsid w:val="00205AAA"/>
    <w:rsid w:val="0021170B"/>
    <w:rsid w:val="00280618"/>
    <w:rsid w:val="002917AB"/>
    <w:rsid w:val="002930D5"/>
    <w:rsid w:val="00314FCB"/>
    <w:rsid w:val="00346A4C"/>
    <w:rsid w:val="0035144E"/>
    <w:rsid w:val="003B0C8B"/>
    <w:rsid w:val="003F2D65"/>
    <w:rsid w:val="0041056F"/>
    <w:rsid w:val="00431B3D"/>
    <w:rsid w:val="00441265"/>
    <w:rsid w:val="00450553"/>
    <w:rsid w:val="004724ED"/>
    <w:rsid w:val="004B35D1"/>
    <w:rsid w:val="004B6661"/>
    <w:rsid w:val="004D4D76"/>
    <w:rsid w:val="004D524F"/>
    <w:rsid w:val="00506A28"/>
    <w:rsid w:val="00565826"/>
    <w:rsid w:val="005C6923"/>
    <w:rsid w:val="00602018"/>
    <w:rsid w:val="00606288"/>
    <w:rsid w:val="0063477D"/>
    <w:rsid w:val="0064604B"/>
    <w:rsid w:val="00695235"/>
    <w:rsid w:val="006B6BA2"/>
    <w:rsid w:val="00737995"/>
    <w:rsid w:val="00755F98"/>
    <w:rsid w:val="00762F35"/>
    <w:rsid w:val="00775AFC"/>
    <w:rsid w:val="007D4C49"/>
    <w:rsid w:val="007F4666"/>
    <w:rsid w:val="00817813"/>
    <w:rsid w:val="00835FB5"/>
    <w:rsid w:val="00836927"/>
    <w:rsid w:val="008460F4"/>
    <w:rsid w:val="00854935"/>
    <w:rsid w:val="00864D39"/>
    <w:rsid w:val="008E4CA6"/>
    <w:rsid w:val="008F447F"/>
    <w:rsid w:val="00914923"/>
    <w:rsid w:val="009200A8"/>
    <w:rsid w:val="00940D09"/>
    <w:rsid w:val="009D71B8"/>
    <w:rsid w:val="009F6FE9"/>
    <w:rsid w:val="00A212A3"/>
    <w:rsid w:val="00A60B9C"/>
    <w:rsid w:val="00A83709"/>
    <w:rsid w:val="00AA62B3"/>
    <w:rsid w:val="00AA6F57"/>
    <w:rsid w:val="00AC70B2"/>
    <w:rsid w:val="00B71A91"/>
    <w:rsid w:val="00B945A3"/>
    <w:rsid w:val="00C31149"/>
    <w:rsid w:val="00C65233"/>
    <w:rsid w:val="00CB7419"/>
    <w:rsid w:val="00CC0039"/>
    <w:rsid w:val="00CC3786"/>
    <w:rsid w:val="00CE1FD0"/>
    <w:rsid w:val="00D02F1D"/>
    <w:rsid w:val="00D07A77"/>
    <w:rsid w:val="00D1577F"/>
    <w:rsid w:val="00D30191"/>
    <w:rsid w:val="00D41D8D"/>
    <w:rsid w:val="00D643EB"/>
    <w:rsid w:val="00D8550E"/>
    <w:rsid w:val="00D9D581"/>
    <w:rsid w:val="00DC4C96"/>
    <w:rsid w:val="00E05134"/>
    <w:rsid w:val="00E436E8"/>
    <w:rsid w:val="00E5112E"/>
    <w:rsid w:val="00E574AF"/>
    <w:rsid w:val="00EC0179"/>
    <w:rsid w:val="00EF191E"/>
    <w:rsid w:val="00F03F39"/>
    <w:rsid w:val="00F77B40"/>
    <w:rsid w:val="00F84F88"/>
    <w:rsid w:val="00F95F00"/>
    <w:rsid w:val="00FC455B"/>
    <w:rsid w:val="01EA17F9"/>
    <w:rsid w:val="026A3F8C"/>
    <w:rsid w:val="02AA999F"/>
    <w:rsid w:val="03947AB9"/>
    <w:rsid w:val="07776532"/>
    <w:rsid w:val="0919A3DA"/>
    <w:rsid w:val="0A2A7364"/>
    <w:rsid w:val="0ABE47D9"/>
    <w:rsid w:val="0B1DD102"/>
    <w:rsid w:val="0D500E43"/>
    <w:rsid w:val="0DFB4931"/>
    <w:rsid w:val="0F820E49"/>
    <w:rsid w:val="0FC043D6"/>
    <w:rsid w:val="10EF62DD"/>
    <w:rsid w:val="10F75BD1"/>
    <w:rsid w:val="1171D56E"/>
    <w:rsid w:val="11FB733D"/>
    <w:rsid w:val="14B1328A"/>
    <w:rsid w:val="165EDBD7"/>
    <w:rsid w:val="1828221A"/>
    <w:rsid w:val="1C5BBDEB"/>
    <w:rsid w:val="1D4E9ED7"/>
    <w:rsid w:val="1E37C351"/>
    <w:rsid w:val="21B92E6F"/>
    <w:rsid w:val="25F54EC7"/>
    <w:rsid w:val="26BDA657"/>
    <w:rsid w:val="274D5A6B"/>
    <w:rsid w:val="284059B4"/>
    <w:rsid w:val="295558DA"/>
    <w:rsid w:val="29BA1808"/>
    <w:rsid w:val="2CE8F333"/>
    <w:rsid w:val="2DAA5577"/>
    <w:rsid w:val="2EC47725"/>
    <w:rsid w:val="3223CD6F"/>
    <w:rsid w:val="325DD411"/>
    <w:rsid w:val="330854AB"/>
    <w:rsid w:val="33A96A78"/>
    <w:rsid w:val="347B041E"/>
    <w:rsid w:val="3B007037"/>
    <w:rsid w:val="3B46919F"/>
    <w:rsid w:val="3E2BBA4B"/>
    <w:rsid w:val="4085E4D6"/>
    <w:rsid w:val="423ABC42"/>
    <w:rsid w:val="4364E067"/>
    <w:rsid w:val="448C1425"/>
    <w:rsid w:val="45CFBF59"/>
    <w:rsid w:val="49333768"/>
    <w:rsid w:val="4982BFE6"/>
    <w:rsid w:val="498E05F6"/>
    <w:rsid w:val="4B9EB63D"/>
    <w:rsid w:val="4BC3043A"/>
    <w:rsid w:val="4C107168"/>
    <w:rsid w:val="4D1C4DD8"/>
    <w:rsid w:val="4D7C5E3C"/>
    <w:rsid w:val="4EC1C97E"/>
    <w:rsid w:val="50244D72"/>
    <w:rsid w:val="503AA403"/>
    <w:rsid w:val="5131B7AE"/>
    <w:rsid w:val="529E2A75"/>
    <w:rsid w:val="5719C252"/>
    <w:rsid w:val="5859A4EC"/>
    <w:rsid w:val="58A59B0E"/>
    <w:rsid w:val="5AC6D89F"/>
    <w:rsid w:val="5B0D60D0"/>
    <w:rsid w:val="5D1C9743"/>
    <w:rsid w:val="5E2710E3"/>
    <w:rsid w:val="604F8CD8"/>
    <w:rsid w:val="61B4412E"/>
    <w:rsid w:val="61C20B21"/>
    <w:rsid w:val="61DE34E3"/>
    <w:rsid w:val="62C8EA0E"/>
    <w:rsid w:val="63BE6206"/>
    <w:rsid w:val="63F312EF"/>
    <w:rsid w:val="643C848A"/>
    <w:rsid w:val="64D0E355"/>
    <w:rsid w:val="64FFBACB"/>
    <w:rsid w:val="65449F2B"/>
    <w:rsid w:val="668ED4F1"/>
    <w:rsid w:val="66F268FF"/>
    <w:rsid w:val="689F106D"/>
    <w:rsid w:val="68E7D8FB"/>
    <w:rsid w:val="692BD850"/>
    <w:rsid w:val="6966E821"/>
    <w:rsid w:val="6DB9ADD4"/>
    <w:rsid w:val="73F5F6A9"/>
    <w:rsid w:val="75319848"/>
    <w:rsid w:val="757C717F"/>
    <w:rsid w:val="76404FF7"/>
    <w:rsid w:val="794FCBDB"/>
    <w:rsid w:val="79577518"/>
    <w:rsid w:val="79628647"/>
    <w:rsid w:val="79F99BDD"/>
    <w:rsid w:val="7ACB03A2"/>
    <w:rsid w:val="7B1A9B6B"/>
    <w:rsid w:val="7BCC06D0"/>
    <w:rsid w:val="7C529CAF"/>
    <w:rsid w:val="7D7DE231"/>
    <w:rsid w:val="7F26AC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B333F"/>
  <w15:chartTrackingRefBased/>
  <w15:docId w15:val="{2A69DF72-F952-4340-BF8F-B8582A01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4D39"/>
    <w:pPr>
      <w:spacing w:after="200" w:line="276" w:lineRule="auto"/>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64D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4D39"/>
  </w:style>
  <w:style w:type="paragraph" w:styleId="Pidipagina">
    <w:name w:val="footer"/>
    <w:basedOn w:val="Normale"/>
    <w:link w:val="PidipaginaCarattere"/>
    <w:uiPriority w:val="99"/>
    <w:unhideWhenUsed/>
    <w:rsid w:val="00864D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4D39"/>
  </w:style>
  <w:style w:type="table" w:styleId="Grigliatabella">
    <w:name w:val="Table Grid"/>
    <w:basedOn w:val="Tabellanormale"/>
    <w:uiPriority w:val="59"/>
    <w:rsid w:val="00864D3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vvr2">
    <w:name w:val="provvr2"/>
    <w:basedOn w:val="Normale"/>
    <w:rsid w:val="00864D39"/>
    <w:pPr>
      <w:spacing w:before="100" w:beforeAutospacing="1" w:after="100" w:afterAutospacing="1" w:line="240" w:lineRule="auto"/>
    </w:pPr>
    <w:rPr>
      <w:rFonts w:eastAsia="Times New Roman" w:cs="Times New Roman"/>
      <w:szCs w:val="24"/>
      <w:lang w:eastAsia="it-IT"/>
    </w:rPr>
  </w:style>
  <w:style w:type="paragraph" w:customStyle="1" w:styleId="Hints">
    <w:name w:val="Hints"/>
    <w:basedOn w:val="Normale"/>
    <w:link w:val="HintsChar"/>
    <w:rsid w:val="00864D39"/>
    <w:pPr>
      <w:spacing w:after="0" w:line="240" w:lineRule="auto"/>
    </w:pPr>
    <w:rPr>
      <w:rFonts w:ascii="Arial" w:hAnsi="Arial" w:cs="Arial"/>
      <w:color w:val="5F5F5F"/>
      <w:sz w:val="22"/>
      <w:lang w:val="en-US"/>
    </w:rPr>
  </w:style>
  <w:style w:type="character" w:customStyle="1" w:styleId="HintsChar">
    <w:name w:val="Hints Char"/>
    <w:link w:val="Hints"/>
    <w:locked/>
    <w:rsid w:val="00864D39"/>
    <w:rPr>
      <w:rFonts w:ascii="Arial" w:hAnsi="Arial" w:cs="Arial"/>
      <w:color w:val="5F5F5F"/>
      <w:lang w:val="en-US"/>
    </w:rPr>
  </w:style>
  <w:style w:type="character" w:styleId="Enfasigrassetto">
    <w:name w:val="Strong"/>
    <w:basedOn w:val="Carpredefinitoparagrafo"/>
    <w:qFormat/>
    <w:rsid w:val="00864D39"/>
    <w:rPr>
      <w:b/>
      <w:bCs/>
    </w:rPr>
  </w:style>
  <w:style w:type="paragraph" w:styleId="Paragrafoelenco">
    <w:name w:val="List Paragraph"/>
    <w:aliases w:val="Paragrafo elenco puntato,SDC,Bullet list,Conclusion de partie,Dot pt,F5 List Paragraph,List Paragraph Char Char Char,Indicator Text,Numbered Para 1,Bullet Points,List Paragraph2,MAIN CONTENT,Normal numbered,Bullet 1,No Spacing1,3,lp1"/>
    <w:basedOn w:val="Normale"/>
    <w:link w:val="ParagrafoelencoCarattere"/>
    <w:uiPriority w:val="34"/>
    <w:qFormat/>
    <w:rsid w:val="00A83709"/>
    <w:pPr>
      <w:ind w:left="720"/>
      <w:contextualSpacing/>
    </w:pPr>
  </w:style>
  <w:style w:type="paragraph" w:styleId="Testonotaapidipagina">
    <w:name w:val="footnote text"/>
    <w:basedOn w:val="Normale"/>
    <w:link w:val="TestonotaapidipaginaCarattere"/>
    <w:uiPriority w:val="99"/>
    <w:rsid w:val="0019107E"/>
    <w:pPr>
      <w:spacing w:after="0" w:line="240" w:lineRule="auto"/>
    </w:pPr>
    <w:rPr>
      <w:rFonts w:eastAsia="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19107E"/>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19107E"/>
    <w:rPr>
      <w:vertAlign w:val="superscript"/>
    </w:rPr>
  </w:style>
  <w:style w:type="paragraph" w:styleId="Rientrocorpodeltesto">
    <w:name w:val="Body Text Indent"/>
    <w:basedOn w:val="Normale"/>
    <w:link w:val="RientrocorpodeltestoCarattere"/>
    <w:uiPriority w:val="99"/>
    <w:unhideWhenUsed/>
    <w:rsid w:val="00450553"/>
    <w:pPr>
      <w:spacing w:after="120"/>
      <w:ind w:left="283"/>
    </w:pPr>
  </w:style>
  <w:style w:type="character" w:customStyle="1" w:styleId="RientrocorpodeltestoCarattere">
    <w:name w:val="Rientro corpo del testo Carattere"/>
    <w:basedOn w:val="Carpredefinitoparagrafo"/>
    <w:link w:val="Rientrocorpodeltesto"/>
    <w:uiPriority w:val="99"/>
    <w:rsid w:val="00450553"/>
    <w:rPr>
      <w:rFonts w:ascii="Times New Roman" w:hAnsi="Times New Roman"/>
      <w:sz w:val="24"/>
    </w:rPr>
  </w:style>
  <w:style w:type="paragraph" w:styleId="Revisione">
    <w:name w:val="Revision"/>
    <w:hidden/>
    <w:uiPriority w:val="99"/>
    <w:semiHidden/>
    <w:rsid w:val="00CC0039"/>
    <w:pPr>
      <w:spacing w:after="0" w:line="240" w:lineRule="auto"/>
    </w:pPr>
    <w:rPr>
      <w:rFonts w:ascii="Times New Roman" w:hAnsi="Times New Roman"/>
      <w:sz w:val="24"/>
    </w:rPr>
  </w:style>
  <w:style w:type="character" w:styleId="Collegamentoipertestuale">
    <w:name w:val="Hyperlink"/>
    <w:basedOn w:val="Carpredefinitoparagrafo"/>
    <w:uiPriority w:val="99"/>
    <w:semiHidden/>
    <w:unhideWhenUsed/>
    <w:rsid w:val="00CC0039"/>
    <w:rPr>
      <w:color w:val="0563C1" w:themeColor="hyperlink"/>
      <w:u w:val="single"/>
    </w:rPr>
  </w:style>
  <w:style w:type="character" w:customStyle="1" w:styleId="ParagrafoelencoCarattere">
    <w:name w:val="Paragrafo elenco Carattere"/>
    <w:aliases w:val="Paragrafo elenco puntato Carattere,SDC Carattere,Bullet list Carattere,Conclusion de partie Carattere,Dot pt Carattere,F5 List Paragraph Carattere,List Paragraph Char Char Char Carattere,Indicator Text Carattere,3 Carattere"/>
    <w:link w:val="Paragrafoelenco"/>
    <w:uiPriority w:val="34"/>
    <w:qFormat/>
    <w:locked/>
    <w:rsid w:val="004D4D76"/>
    <w:rPr>
      <w:rFonts w:ascii="Times New Roman" w:hAnsi="Times New Roman"/>
      <w:sz w:val="24"/>
    </w:rPr>
  </w:style>
  <w:style w:type="character" w:styleId="Rimandocommento">
    <w:name w:val="annotation reference"/>
    <w:basedOn w:val="Carpredefinitoparagrafo"/>
    <w:uiPriority w:val="99"/>
    <w:semiHidden/>
    <w:unhideWhenUsed/>
    <w:rsid w:val="00D41D8D"/>
    <w:rPr>
      <w:sz w:val="16"/>
      <w:szCs w:val="16"/>
    </w:rPr>
  </w:style>
  <w:style w:type="paragraph" w:styleId="Testocommento">
    <w:name w:val="annotation text"/>
    <w:basedOn w:val="Normale"/>
    <w:link w:val="TestocommentoCarattere"/>
    <w:uiPriority w:val="99"/>
    <w:unhideWhenUsed/>
    <w:rsid w:val="00D41D8D"/>
    <w:pPr>
      <w:spacing w:line="240" w:lineRule="auto"/>
    </w:pPr>
    <w:rPr>
      <w:sz w:val="20"/>
      <w:szCs w:val="20"/>
    </w:rPr>
  </w:style>
  <w:style w:type="character" w:customStyle="1" w:styleId="TestocommentoCarattere">
    <w:name w:val="Testo commento Carattere"/>
    <w:basedOn w:val="Carpredefinitoparagrafo"/>
    <w:link w:val="Testocommento"/>
    <w:uiPriority w:val="99"/>
    <w:rsid w:val="00D41D8D"/>
    <w:rPr>
      <w:rFonts w:ascii="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D41D8D"/>
    <w:rPr>
      <w:b/>
      <w:bCs/>
    </w:rPr>
  </w:style>
  <w:style w:type="character" w:customStyle="1" w:styleId="SoggettocommentoCarattere">
    <w:name w:val="Soggetto commento Carattere"/>
    <w:basedOn w:val="TestocommentoCarattere"/>
    <w:link w:val="Soggettocommento"/>
    <w:uiPriority w:val="99"/>
    <w:semiHidden/>
    <w:rsid w:val="00D41D8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5496939">
      <w:bodyDiv w:val="1"/>
      <w:marLeft w:val="0"/>
      <w:marRight w:val="0"/>
      <w:marTop w:val="0"/>
      <w:marBottom w:val="0"/>
      <w:divBdr>
        <w:top w:val="none" w:sz="0" w:space="0" w:color="auto"/>
        <w:left w:val="none" w:sz="0" w:space="0" w:color="auto"/>
        <w:bottom w:val="none" w:sz="0" w:space="0" w:color="auto"/>
        <w:right w:val="none" w:sz="0" w:space="0" w:color="auto"/>
      </w:divBdr>
    </w:div>
    <w:div w:id="754210906">
      <w:bodyDiv w:val="1"/>
      <w:marLeft w:val="0"/>
      <w:marRight w:val="0"/>
      <w:marTop w:val="0"/>
      <w:marBottom w:val="0"/>
      <w:divBdr>
        <w:top w:val="none" w:sz="0" w:space="0" w:color="auto"/>
        <w:left w:val="none" w:sz="0" w:space="0" w:color="auto"/>
        <w:bottom w:val="none" w:sz="0" w:space="0" w:color="auto"/>
        <w:right w:val="none" w:sz="0" w:space="0" w:color="auto"/>
      </w:divBdr>
    </w:div>
    <w:div w:id="901060182">
      <w:bodyDiv w:val="1"/>
      <w:marLeft w:val="0"/>
      <w:marRight w:val="0"/>
      <w:marTop w:val="0"/>
      <w:marBottom w:val="0"/>
      <w:divBdr>
        <w:top w:val="none" w:sz="0" w:space="0" w:color="auto"/>
        <w:left w:val="none" w:sz="0" w:space="0" w:color="auto"/>
        <w:bottom w:val="none" w:sz="0" w:space="0" w:color="auto"/>
        <w:right w:val="none" w:sz="0" w:space="0" w:color="auto"/>
      </w:divBdr>
    </w:div>
    <w:div w:id="1198544205">
      <w:bodyDiv w:val="1"/>
      <w:marLeft w:val="0"/>
      <w:marRight w:val="0"/>
      <w:marTop w:val="0"/>
      <w:marBottom w:val="0"/>
      <w:divBdr>
        <w:top w:val="none" w:sz="0" w:space="0" w:color="auto"/>
        <w:left w:val="none" w:sz="0" w:space="0" w:color="auto"/>
        <w:bottom w:val="none" w:sz="0" w:space="0" w:color="auto"/>
        <w:right w:val="none" w:sz="0" w:space="0" w:color="auto"/>
      </w:divBdr>
    </w:div>
    <w:div w:id="146611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SE_Tag_Hidden xmlns="F713B5F9-DAB8-4276-A218-1CD52E48CA38">
      <Terms xmlns="http://schemas.microsoft.com/office/infopath/2007/PartnerControls">
        <TermInfo xmlns="http://schemas.microsoft.com/office/infopath/2007/PartnerControls">
          <TermName xmlns="http://schemas.microsoft.com/office/infopath/2007/PartnerControls">BIO-PMG</TermName>
          <TermId xmlns="http://schemas.microsoft.com/office/infopath/2007/PartnerControls">b066137c-df2e-42cb-bdff-b60681390329</TermId>
        </TermInfo>
      </Terms>
    </GSE_Tag_Hidden>
    <GSE_Tag_Categoria_Documento_Hidden xmlns="F713B5F9-DAB8-4276-A218-1CD52E48CA38">
      <Terms xmlns="http://schemas.microsoft.com/office/infopath/2007/PartnerControls">
        <TermInfo xmlns="http://schemas.microsoft.com/office/infopath/2007/PartnerControls">
          <TermName xmlns="http://schemas.microsoft.com/office/infopath/2007/PartnerControls">BIO-PMG</TermName>
          <TermId xmlns="http://schemas.microsoft.com/office/infopath/2007/PartnerControls">2342b987-cdc4-433c-8c16-e805f20c7bb3</TermId>
        </TermInfo>
      </Terms>
    </GSE_Tag_Categoria_Documento_Hidden>
    <GSE_Data_Documento xmlns="F713B5F9-DAB8-4276-A218-1CD52E48CA38">2024-06-20T22:00:00+00:00</GSE_Data_Documento>
    <GSE_Tag_Tipologia_Documento_Hidden xmlns="F713B5F9-DAB8-4276-A218-1CD52E48CA38">
      <Terms xmlns="http://schemas.microsoft.com/office/infopath/2007/PartnerControls">
        <TermInfo xmlns="http://schemas.microsoft.com/office/infopath/2007/PartnerControls">
          <TermName xmlns="http://schemas.microsoft.com/office/infopath/2007/PartnerControls">Moduli e modelli</TermName>
          <TermId xmlns="http://schemas.microsoft.com/office/infopath/2007/PartnerControls">2feda780-ebe6-4dc4-b0a8-57b6168c88cf</TermId>
        </TermInfo>
      </Terms>
    </GSE_Tag_Tipologia_Documento_Hidden>
    <GSE_InHomePage xmlns="F713B5F9-DAB8-4276-A218-1CD52E48CA38">false</GSE_InHomeP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SE Documento CT" ma:contentTypeID="0x010100F9D29725B9904938AB855E27471558CF002DA80C43F21AAB438D0ECFC6E7EC3AF5" ma:contentTypeVersion="0" ma:contentTypeDescription="Content type GSE per i Documenti" ma:contentTypeScope="" ma:versionID="095e34c88c71685d8116a397a0b0c515">
  <xsd:schema xmlns:xsd="http://www.w3.org/2001/XMLSchema" xmlns:xs="http://www.w3.org/2001/XMLSchema" xmlns:p="http://schemas.microsoft.com/office/2006/metadata/properties" xmlns:ns2="F713B5F9-DAB8-4276-A218-1CD52E48CA38" targetNamespace="http://schemas.microsoft.com/office/2006/metadata/properties" ma:root="true" ma:fieldsID="911443c50767c3dd598781463f04f9a5" ns2:_="">
    <xsd:import namespace="F713B5F9-DAB8-4276-A218-1CD52E48CA38"/>
    <xsd:element name="properties">
      <xsd:complexType>
        <xsd:sequence>
          <xsd:element name="documentManagement">
            <xsd:complexType>
              <xsd:all>
                <xsd:element ref="ns2:GSE_InHomePage" minOccurs="0"/>
                <xsd:element ref="ns2:GSE_Tag_Tipologia_Documento_Hidden" minOccurs="0"/>
                <xsd:element ref="ns2:GSE_Tag_Hidden" minOccurs="0"/>
                <xsd:element ref="ns2:GSE_Data_Documento"/>
                <xsd:element ref="ns2:GSE_Tag_Categoria_Documento_Hid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3B5F9-DAB8-4276-A218-1CD52E48CA38" elementFormDefault="qualified">
    <xsd:import namespace="http://schemas.microsoft.com/office/2006/documentManagement/types"/>
    <xsd:import namespace="http://schemas.microsoft.com/office/infopath/2007/PartnerControls"/>
    <xsd:element name="GSE_InHomePage" ma:index="8" nillable="true" ma:displayName="In home page" ma:default="0" ma:description="Mostra in Home page" ma:internalName="GSE_InHomePage">
      <xsd:simpleType>
        <xsd:restriction base="dms:Boolean"/>
      </xsd:simpleType>
    </xsd:element>
    <xsd:element name="GSE_Tag_Tipologia_Documento_Hidden" ma:index="10" nillable="true" ma:taxonomy="true" ma:internalName="GSE_Tag_Tipologia_Documento_Hidden" ma:taxonomyFieldName="GSE_Tag_Tipologia_Documento" ma:displayName="Tipologia documento" ma:default="" ma:fieldId="{31141398-b02d-460d-9d69-2fe8ec1a0b98}" ma:sspId="d3efff16-dcae-4d2f-8491-bf9ce9938986" ma:termSetId="b1d26679-6cfe-459d-a716-023144047ca8" ma:anchorId="00000000-0000-0000-0000-000000000000" ma:open="false" ma:isKeyword="false">
      <xsd:complexType>
        <xsd:sequence>
          <xsd:element ref="pc:Terms" minOccurs="0" maxOccurs="1"/>
        </xsd:sequence>
      </xsd:complexType>
    </xsd:element>
    <xsd:element name="GSE_Tag_Hidden" ma:index="12" nillable="true" ma:taxonomy="true" ma:internalName="GSE_Tag_Hidden" ma:taxonomyFieldName="GSE_Tag" ma:displayName="Tag" ma:default="" ma:fieldId="{fb87234c-6068-4afa-b2df-c10787c5bf42}" ma:taxonomyMulti="true" ma:sspId="d3efff16-dcae-4d2f-8491-bf9ce9938986" ma:termSetId="662402dd-0c4a-4ea2-b2c3-0b8782ae68bc" ma:anchorId="00000000-0000-0000-0000-000000000000" ma:open="false" ma:isKeyword="false">
      <xsd:complexType>
        <xsd:sequence>
          <xsd:element ref="pc:Terms" minOccurs="0" maxOccurs="1"/>
        </xsd:sequence>
      </xsd:complexType>
    </xsd:element>
    <xsd:element name="GSE_Data_Documento" ma:index="13" ma:displayName="Data documento" ma:format="DateTime" ma:internalName="GSE_Data_Documento">
      <xsd:simpleType>
        <xsd:restriction base="dms:DateTime"/>
      </xsd:simpleType>
    </xsd:element>
    <xsd:element name="GSE_Tag_Categoria_Documento_Hidden" ma:index="14" nillable="true" ma:taxonomy="true" ma:internalName="GSE_Tag_Categoria_Documento_Hidden" ma:taxonomyFieldName="GSE_Tag_Categoria_Documento" ma:displayName="Categoria documento" ma:default="" ma:fieldId="{421b3840-4f06-44b4-9ed5-7ac63c804f32}" ma:taxonomyMulti="true" ma:sspId="d3efff16-dcae-4d2f-8491-bf9ce9938986" ma:termSetId="439bb2ab-1215-4eb3-b2b3-489b4a6346e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05443D-8CB2-4C7B-AFD4-9BA746967165}">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bdccb48d-d59c-4c8b-a063-7c8208155764"/>
    <ds:schemaRef ds:uri="8f8db65a-99e9-4fb9-95e0-7100f3c9849f"/>
    <ds:schemaRef ds:uri="http://schemas.microsoft.com/office/2006/metadata/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A4A38265-3537-479C-90AD-007CE3B3A59B}">
  <ds:schemaRefs>
    <ds:schemaRef ds:uri="http://schemas.microsoft.com/sharepoint/v3/contenttype/forms"/>
  </ds:schemaRefs>
</ds:datastoreItem>
</file>

<file path=customXml/itemProps3.xml><?xml version="1.0" encoding="utf-8"?>
<ds:datastoreItem xmlns:ds="http://schemas.openxmlformats.org/officeDocument/2006/customXml" ds:itemID="{6B383EC2-D2D5-4765-8586-76E4EC2DDB3A}"/>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4811</Characters>
  <Application>Microsoft Office Word</Application>
  <DocSecurity>4</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preliminare di accesso al meccanismo</dc:title>
  <dc:subject/>
  <dc:creator>Santucci Michela (GSE)</dc:creator>
  <cp:keywords/>
  <dc:description/>
  <cp:lastModifiedBy>Bellini Chiara (GSE)</cp:lastModifiedBy>
  <cp:revision>2</cp:revision>
  <dcterms:created xsi:type="dcterms:W3CDTF">2024-06-21T09:52:00Z</dcterms:created>
  <dcterms:modified xsi:type="dcterms:W3CDTF">2024-06-21T09:52:00Z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0x010100F9D29725B9904938AB855E27471558CF002DA80C43F21AAB438D0ECFC6E7EC3AF5</vt:lpwstr>
  </property>
  <property fmtid="{D5CDD505-2E9C-101B-9397-08002B2CF9AE}" pid="3" name="GSE_Tag_Categoria_Documento">
    <vt:lpwstr>331;#BIO-PMG|2342b987-cdc4-433c-8c16-e805f20c7bb3</vt:lpwstr>
  </property>
  <property fmtid="{D5CDD505-2E9C-101B-9397-08002B2CF9AE}" pid="4" name="GSE_Tag_Tipologia_Documento">
    <vt:lpwstr>131</vt:lpwstr>
  </property>
  <property fmtid="{D5CDD505-2E9C-101B-9397-08002B2CF9AE}" pid="5" name="GSE_Tag">
    <vt:lpwstr>330;#BIO-PMG|b066137c-df2e-42cb-bdff-b60681390329</vt:lpwstr>
  </property>
</Properties>
</file>